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D9C7C">
      <w:pPr>
        <w:widowControl/>
        <w:jc w:val="center"/>
        <w:rPr>
          <w:rFonts w:eastAsia="黑体" w:cs="宋体"/>
          <w:b/>
          <w:kern w:val="0"/>
          <w:sz w:val="30"/>
          <w:szCs w:val="30"/>
        </w:rPr>
      </w:pPr>
      <w:bookmarkStart w:id="0" w:name="_Toc254855979"/>
      <w:r>
        <w:rPr>
          <w:rFonts w:hint="eastAsia" w:eastAsia="黑体" w:cs="宋体"/>
          <w:b/>
          <w:kern w:val="0"/>
          <w:sz w:val="30"/>
          <w:szCs w:val="30"/>
        </w:rPr>
        <w:t>福建师范大学申请高等学历继续教育本科毕业生学业水平测试</w:t>
      </w:r>
    </w:p>
    <w:p w14:paraId="2AA91F29">
      <w:pPr>
        <w:widowControl/>
        <w:jc w:val="center"/>
        <w:rPr>
          <w:rFonts w:eastAsia="黑体" w:cs="宋体"/>
          <w:b/>
          <w:kern w:val="0"/>
          <w:sz w:val="30"/>
          <w:szCs w:val="30"/>
        </w:rPr>
      </w:pPr>
      <w:r>
        <w:rPr>
          <w:rFonts w:hint="eastAsia" w:eastAsia="黑体" w:cs="宋体"/>
          <w:b/>
          <w:kern w:val="0"/>
          <w:sz w:val="30"/>
          <w:szCs w:val="30"/>
        </w:rPr>
        <w:t>计算机科学与技术专业</w:t>
      </w:r>
    </w:p>
    <w:p w14:paraId="351D37C5">
      <w:pPr>
        <w:widowControl/>
        <w:jc w:val="center"/>
        <w:rPr>
          <w:rFonts w:eastAsia="黑体" w:cs="宋体"/>
          <w:b/>
          <w:kern w:val="0"/>
          <w:sz w:val="30"/>
          <w:szCs w:val="30"/>
        </w:rPr>
      </w:pPr>
      <w:r>
        <w:rPr>
          <w:rFonts w:hint="eastAsia" w:eastAsia="黑体" w:cs="宋体"/>
          <w:b/>
          <w:kern w:val="0"/>
          <w:sz w:val="30"/>
          <w:szCs w:val="30"/>
        </w:rPr>
        <w:t>《计算机网络与通讯》课程考试大纲</w:t>
      </w:r>
      <w:bookmarkEnd w:id="0"/>
    </w:p>
    <w:p w14:paraId="3CF14C2B">
      <w:pPr>
        <w:spacing w:line="400" w:lineRule="exact"/>
        <w:jc w:val="center"/>
        <w:rPr>
          <w:rFonts w:eastAsia="黑体"/>
          <w:b/>
          <w:bCs/>
          <w:sz w:val="28"/>
          <w:szCs w:val="28"/>
        </w:rPr>
      </w:pPr>
      <w:r>
        <w:rPr>
          <w:rFonts w:hint="eastAsia" w:eastAsia="黑体" w:cs="宋体"/>
          <w:b/>
          <w:kern w:val="0"/>
          <w:sz w:val="30"/>
          <w:szCs w:val="30"/>
        </w:rPr>
        <w:t>考试形式：</w:t>
      </w:r>
      <w:r>
        <w:rPr>
          <w:rFonts w:eastAsia="黑体"/>
          <w:b/>
          <w:kern w:val="0"/>
          <w:sz w:val="30"/>
          <w:szCs w:val="30"/>
        </w:rPr>
        <w:t>线上考试</w:t>
      </w:r>
      <w:bookmarkStart w:id="1" w:name="_GoBack"/>
      <w:bookmarkEnd w:id="1"/>
      <w:r>
        <w:rPr>
          <w:rFonts w:eastAsia="黑体" w:cs="宋体"/>
          <w:b/>
          <w:kern w:val="0"/>
          <w:sz w:val="30"/>
          <w:szCs w:val="30"/>
        </w:rPr>
        <w:t xml:space="preserve">  </w:t>
      </w:r>
      <w:r>
        <w:rPr>
          <w:rFonts w:hint="eastAsia" w:eastAsia="黑体" w:cs="宋体"/>
          <w:b/>
          <w:kern w:val="0"/>
          <w:sz w:val="30"/>
          <w:szCs w:val="30"/>
        </w:rPr>
        <w:t>考试时间：</w:t>
      </w:r>
      <w:r>
        <w:rPr>
          <w:rFonts w:eastAsia="黑体" w:cs="宋体"/>
          <w:b/>
          <w:kern w:val="0"/>
          <w:sz w:val="30"/>
          <w:szCs w:val="30"/>
        </w:rPr>
        <w:t>1</w:t>
      </w:r>
      <w:r>
        <w:rPr>
          <w:rFonts w:hint="eastAsia" w:eastAsia="黑体" w:cs="宋体"/>
          <w:b/>
          <w:kern w:val="0"/>
          <w:sz w:val="30"/>
          <w:szCs w:val="30"/>
        </w:rPr>
        <w:t>0</w:t>
      </w:r>
      <w:r>
        <w:rPr>
          <w:rFonts w:eastAsia="黑体" w:cs="宋体"/>
          <w:b/>
          <w:kern w:val="0"/>
          <w:sz w:val="30"/>
          <w:szCs w:val="30"/>
        </w:rPr>
        <w:t>0</w:t>
      </w:r>
      <w:r>
        <w:rPr>
          <w:rFonts w:hint="eastAsia" w:eastAsia="黑体" w:cs="宋体"/>
          <w:b/>
          <w:kern w:val="0"/>
          <w:sz w:val="30"/>
          <w:szCs w:val="30"/>
        </w:rPr>
        <w:t>分钟</w:t>
      </w:r>
    </w:p>
    <w:p w14:paraId="1003F207">
      <w:pPr>
        <w:spacing w:before="312" w:beforeLines="100" w:after="312" w:afterLines="100" w:line="400" w:lineRule="exact"/>
        <w:rPr>
          <w:rFonts w:eastAsia="黑体"/>
          <w:b/>
          <w:bCs/>
          <w:sz w:val="28"/>
          <w:szCs w:val="28"/>
        </w:rPr>
      </w:pPr>
      <w:r>
        <w:rPr>
          <w:rFonts w:hint="eastAsia" w:eastAsia="黑体"/>
          <w:b/>
          <w:bCs/>
          <w:sz w:val="28"/>
          <w:szCs w:val="28"/>
        </w:rPr>
        <w:t>一、参考教材（</w:t>
      </w:r>
      <w:r>
        <w:rPr>
          <w:rFonts w:hint="eastAsia" w:eastAsia="黑体"/>
          <w:b/>
          <w:bCs/>
          <w:color w:val="FF0000"/>
          <w:sz w:val="28"/>
          <w:szCs w:val="28"/>
        </w:rPr>
        <w:t>考生自备</w:t>
      </w:r>
      <w:r>
        <w:rPr>
          <w:rFonts w:hint="eastAsia" w:eastAsia="黑体"/>
          <w:b/>
          <w:bCs/>
          <w:sz w:val="28"/>
          <w:szCs w:val="28"/>
        </w:rPr>
        <w:t>）</w:t>
      </w:r>
    </w:p>
    <w:p w14:paraId="0268B94F">
      <w:pPr>
        <w:spacing w:before="156" w:beforeLines="50"/>
        <w:ind w:firstLine="480" w:firstLineChars="200"/>
        <w:rPr>
          <w:sz w:val="24"/>
        </w:rPr>
      </w:pPr>
      <w:r>
        <w:rPr>
          <w:rFonts w:hint="eastAsia"/>
          <w:sz w:val="24"/>
        </w:rPr>
        <w:t>1. 计算机网络（第8版），谢希仁，电子工业出版社，ISBN：978-7-121-41174-8；</w:t>
      </w:r>
    </w:p>
    <w:p w14:paraId="0699B91C">
      <w:pPr>
        <w:spacing w:before="156" w:beforeLines="50"/>
        <w:ind w:firstLine="480" w:firstLineChars="200"/>
        <w:rPr>
          <w:sz w:val="24"/>
        </w:rPr>
      </w:pPr>
      <w:r>
        <w:rPr>
          <w:rFonts w:hint="eastAsia"/>
          <w:sz w:val="24"/>
        </w:rPr>
        <w:t>2. 计算机网络（第6版），（美）安德鲁·S.特南鲍姆（Andrew S.</w:t>
      </w:r>
      <w:r>
        <w:rPr>
          <w:sz w:val="24"/>
        </w:rPr>
        <w:t>Tanenbaum</w:t>
      </w:r>
      <w:r>
        <w:rPr>
          <w:rFonts w:hint="eastAsia"/>
          <w:sz w:val="24"/>
        </w:rPr>
        <w:t>），清华大学出版社；2022-06-01；ISBN：978-7-302-60471-6</w:t>
      </w:r>
    </w:p>
    <w:p w14:paraId="525F1D7F">
      <w:pPr>
        <w:spacing w:before="156" w:beforeLines="50"/>
        <w:ind w:firstLine="482" w:firstLineChars="200"/>
        <w:rPr>
          <w:b/>
          <w:bCs/>
          <w:sz w:val="24"/>
        </w:rPr>
      </w:pPr>
      <w:r>
        <w:rPr>
          <w:rFonts w:hint="eastAsia"/>
          <w:b/>
          <w:bCs/>
          <w:sz w:val="24"/>
        </w:rPr>
        <w:t>【注：自备第1本教材即可，以第1本教材为主，第2本教材仅作参考。】</w:t>
      </w:r>
    </w:p>
    <w:p w14:paraId="25FB760F">
      <w:pPr>
        <w:spacing w:before="312" w:beforeLines="100" w:after="312" w:afterLines="100" w:line="400" w:lineRule="exact"/>
        <w:rPr>
          <w:rFonts w:eastAsia="黑体"/>
          <w:b/>
          <w:bCs/>
          <w:sz w:val="28"/>
          <w:szCs w:val="28"/>
        </w:rPr>
      </w:pPr>
      <w:r>
        <w:rPr>
          <w:rFonts w:hint="eastAsia" w:eastAsia="黑体"/>
          <w:b/>
          <w:bCs/>
          <w:sz w:val="28"/>
          <w:szCs w:val="28"/>
        </w:rPr>
        <w:t>二、课程纲要</w:t>
      </w:r>
    </w:p>
    <w:p w14:paraId="3AECDB57">
      <w:pPr>
        <w:spacing w:before="156" w:beforeLines="50"/>
        <w:ind w:firstLine="480" w:firstLineChars="200"/>
        <w:rPr>
          <w:sz w:val="24"/>
        </w:rPr>
      </w:pPr>
      <w:r>
        <w:rPr>
          <w:rFonts w:hint="eastAsia"/>
          <w:sz w:val="24"/>
        </w:rPr>
        <w:t>学习掌握程度说明：</w:t>
      </w:r>
    </w:p>
    <w:p w14:paraId="2BA773CB">
      <w:pPr>
        <w:spacing w:line="276" w:lineRule="auto"/>
        <w:ind w:firstLine="480" w:firstLineChars="200"/>
        <w:rPr>
          <w:sz w:val="24"/>
        </w:rPr>
      </w:pPr>
      <w:r>
        <w:rPr>
          <w:rFonts w:hint="eastAsia"/>
          <w:sz w:val="24"/>
        </w:rPr>
        <w:t>（1）识记：要求学生能够记住大纲中的知识点，能做出正确的判断和选择。</w:t>
      </w:r>
    </w:p>
    <w:p w14:paraId="52120EC2">
      <w:pPr>
        <w:spacing w:line="276" w:lineRule="auto"/>
        <w:ind w:firstLine="480" w:firstLineChars="200"/>
        <w:rPr>
          <w:sz w:val="24"/>
        </w:rPr>
      </w:pPr>
      <w:r>
        <w:rPr>
          <w:rFonts w:hint="eastAsia"/>
          <w:sz w:val="24"/>
        </w:rPr>
        <w:t>（2）领会：要求学生能够理解与本知识点有关问题，能做出正确的表述和解释。</w:t>
      </w:r>
    </w:p>
    <w:p w14:paraId="19CD046B">
      <w:pPr>
        <w:spacing w:line="276" w:lineRule="auto"/>
        <w:ind w:firstLine="480" w:firstLineChars="200"/>
        <w:rPr>
          <w:sz w:val="24"/>
        </w:rPr>
      </w:pPr>
      <w:r>
        <w:rPr>
          <w:rFonts w:hint="eastAsia"/>
          <w:sz w:val="24"/>
        </w:rPr>
        <w:t>（3）简单应用：要求学生能够运用本大纲中的知识点来解决问题。</w:t>
      </w:r>
    </w:p>
    <w:p w14:paraId="692F2B79">
      <w:pPr>
        <w:spacing w:line="276" w:lineRule="auto"/>
        <w:ind w:firstLine="480" w:firstLineChars="200"/>
        <w:rPr>
          <w:sz w:val="24"/>
        </w:rPr>
      </w:pPr>
      <w:r>
        <w:rPr>
          <w:rFonts w:hint="eastAsia"/>
          <w:sz w:val="24"/>
        </w:rPr>
        <w:t>（4）综合应用：要求学生在熟悉和理解的基础上，会运用多个知识点来解决问题。</w:t>
      </w:r>
    </w:p>
    <w:p w14:paraId="51A3C069">
      <w:pPr>
        <w:spacing w:before="312" w:beforeLines="100" w:line="276" w:lineRule="auto"/>
        <w:jc w:val="center"/>
        <w:rPr>
          <w:b/>
          <w:bCs/>
          <w:sz w:val="24"/>
        </w:rPr>
      </w:pPr>
      <w:r>
        <w:rPr>
          <w:rFonts w:hint="eastAsia"/>
          <w:b/>
          <w:bCs/>
          <w:sz w:val="24"/>
        </w:rPr>
        <w:t>第一章 概述</w:t>
      </w:r>
    </w:p>
    <w:p w14:paraId="121954DD">
      <w:pPr>
        <w:spacing w:line="276" w:lineRule="auto"/>
        <w:ind w:firstLine="480" w:firstLineChars="200"/>
        <w:jc w:val="left"/>
        <w:rPr>
          <w:sz w:val="24"/>
        </w:rPr>
      </w:pPr>
      <w:r>
        <w:rPr>
          <w:rFonts w:hint="eastAsia"/>
          <w:sz w:val="24"/>
        </w:rPr>
        <w:t>（1）计算机网络的定义及分类；（识记）</w:t>
      </w:r>
    </w:p>
    <w:p w14:paraId="70D95828">
      <w:pPr>
        <w:spacing w:line="276" w:lineRule="auto"/>
        <w:ind w:firstLine="480" w:firstLineChars="200"/>
        <w:jc w:val="left"/>
        <w:rPr>
          <w:sz w:val="24"/>
        </w:rPr>
      </w:pPr>
      <w:r>
        <w:rPr>
          <w:rFonts w:hint="eastAsia"/>
          <w:sz w:val="24"/>
        </w:rPr>
        <w:t>（2）互联网的组成；（识记）</w:t>
      </w:r>
    </w:p>
    <w:p w14:paraId="5D17E75F">
      <w:pPr>
        <w:spacing w:line="276" w:lineRule="auto"/>
        <w:ind w:firstLine="480" w:firstLineChars="200"/>
        <w:jc w:val="left"/>
        <w:rPr>
          <w:sz w:val="24"/>
        </w:rPr>
      </w:pPr>
      <w:r>
        <w:rPr>
          <w:rFonts w:hint="eastAsia"/>
          <w:sz w:val="24"/>
        </w:rPr>
        <w:t>（3）数据交换技术：电路交换、报文交换、分组交换；（领会）</w:t>
      </w:r>
    </w:p>
    <w:p w14:paraId="791416A1">
      <w:pPr>
        <w:spacing w:line="276" w:lineRule="auto"/>
        <w:ind w:firstLine="480" w:firstLineChars="200"/>
        <w:jc w:val="left"/>
        <w:rPr>
          <w:sz w:val="24"/>
        </w:rPr>
      </w:pPr>
      <w:r>
        <w:rPr>
          <w:rFonts w:hint="eastAsia"/>
          <w:sz w:val="24"/>
        </w:rPr>
        <w:t>（4）计算机网络常用的性能指标：速率、带宽、时延（发送时延、传播时延）；（简单应用）</w:t>
      </w:r>
    </w:p>
    <w:p w14:paraId="12B506A4">
      <w:pPr>
        <w:spacing w:line="276" w:lineRule="auto"/>
        <w:ind w:firstLine="480" w:firstLineChars="200"/>
        <w:jc w:val="left"/>
        <w:rPr>
          <w:sz w:val="24"/>
        </w:rPr>
      </w:pPr>
      <w:r>
        <w:rPr>
          <w:rFonts w:hint="eastAsia"/>
          <w:sz w:val="24"/>
        </w:rPr>
        <w:t>（5）计算机网络体系结构（包括协议及其三要素、分层思想；OSI的7层模型、TCP/IP的4层模型等）。（领会）</w:t>
      </w:r>
    </w:p>
    <w:p w14:paraId="45CC87A3">
      <w:pPr>
        <w:spacing w:before="312" w:beforeLines="100" w:line="276" w:lineRule="auto"/>
        <w:jc w:val="center"/>
        <w:rPr>
          <w:b/>
          <w:bCs/>
          <w:sz w:val="24"/>
        </w:rPr>
      </w:pPr>
      <w:r>
        <w:rPr>
          <w:rFonts w:hint="eastAsia"/>
          <w:b/>
          <w:bCs/>
          <w:sz w:val="24"/>
        </w:rPr>
        <w:t>第二章 物理层</w:t>
      </w:r>
    </w:p>
    <w:p w14:paraId="527C4BAF">
      <w:pPr>
        <w:spacing w:line="276" w:lineRule="auto"/>
        <w:ind w:firstLine="480" w:firstLineChars="200"/>
        <w:rPr>
          <w:sz w:val="24"/>
        </w:rPr>
      </w:pPr>
      <w:r>
        <w:rPr>
          <w:rFonts w:hint="eastAsia"/>
          <w:sz w:val="24"/>
        </w:rPr>
        <w:t>（1）数据通信的基本知识和基本概念：码元；信道的通信方式；常见编码方式；基本带通调制方法（识记）</w:t>
      </w:r>
    </w:p>
    <w:p w14:paraId="05705FC1">
      <w:pPr>
        <w:spacing w:line="276" w:lineRule="auto"/>
        <w:ind w:firstLine="480" w:firstLineChars="200"/>
        <w:rPr>
          <w:sz w:val="24"/>
        </w:rPr>
      </w:pPr>
      <w:r>
        <w:rPr>
          <w:rFonts w:hint="eastAsia"/>
          <w:sz w:val="24"/>
        </w:rPr>
        <w:t>（2）信道的极限容量：</w:t>
      </w:r>
    </w:p>
    <w:p w14:paraId="43162729">
      <w:pPr>
        <w:pStyle w:val="13"/>
        <w:numPr>
          <w:ilvl w:val="0"/>
          <w:numId w:val="1"/>
        </w:numPr>
        <w:spacing w:line="276" w:lineRule="auto"/>
        <w:ind w:firstLine="480"/>
        <w:rPr>
          <w:sz w:val="24"/>
        </w:rPr>
      </w:pPr>
      <w:r>
        <w:rPr>
          <w:rFonts w:hint="eastAsia"/>
          <w:sz w:val="24"/>
        </w:rPr>
        <w:t>奈氏准则；</w:t>
      </w:r>
      <w:r>
        <w:rPr>
          <w:rFonts w:hint="eastAsia"/>
          <w:color w:val="000000"/>
          <w:sz w:val="24"/>
        </w:rPr>
        <w:t>理解比特率和波特率之间的关系</w:t>
      </w:r>
      <w:r>
        <w:rPr>
          <w:i/>
          <w:iCs/>
          <w:color w:val="000000"/>
          <w:sz w:val="24"/>
        </w:rPr>
        <w:t>S=Blog</w:t>
      </w:r>
      <w:r>
        <w:rPr>
          <w:i/>
          <w:iCs/>
          <w:color w:val="000000"/>
          <w:sz w:val="24"/>
          <w:vertAlign w:val="subscript"/>
        </w:rPr>
        <w:t>2</w:t>
      </w:r>
      <w:r>
        <w:rPr>
          <w:i/>
          <w:iCs/>
          <w:sz w:val="24"/>
        </w:rPr>
        <w:t>N</w:t>
      </w:r>
      <w:r>
        <w:rPr>
          <w:rFonts w:hint="eastAsia"/>
          <w:sz w:val="24"/>
        </w:rPr>
        <w:t>（</w:t>
      </w:r>
      <w:r>
        <w:rPr>
          <w:rFonts w:hint="eastAsia"/>
          <w:i/>
          <w:iCs/>
          <w:sz w:val="24"/>
        </w:rPr>
        <w:t>S</w:t>
      </w:r>
      <w:r>
        <w:rPr>
          <w:rFonts w:hint="eastAsia"/>
          <w:sz w:val="24"/>
        </w:rPr>
        <w:t>：比特率；</w:t>
      </w:r>
      <w:r>
        <w:rPr>
          <w:rFonts w:hint="eastAsia"/>
          <w:i/>
          <w:iCs/>
          <w:sz w:val="24"/>
        </w:rPr>
        <w:t>B</w:t>
      </w:r>
      <w:r>
        <w:rPr>
          <w:rFonts w:hint="eastAsia"/>
          <w:sz w:val="24"/>
        </w:rPr>
        <w:t>：波特率；</w:t>
      </w:r>
      <w:r>
        <w:rPr>
          <w:rFonts w:hint="eastAsia"/>
          <w:i/>
          <w:iCs/>
          <w:sz w:val="24"/>
        </w:rPr>
        <w:t>N</w:t>
      </w:r>
      <w:r>
        <w:rPr>
          <w:rFonts w:hint="eastAsia"/>
          <w:sz w:val="24"/>
        </w:rPr>
        <w:t>：码元状态数）；（简单应用）</w:t>
      </w:r>
    </w:p>
    <w:p w14:paraId="43E924A3">
      <w:pPr>
        <w:pStyle w:val="13"/>
        <w:numPr>
          <w:ilvl w:val="0"/>
          <w:numId w:val="1"/>
        </w:numPr>
        <w:spacing w:line="276" w:lineRule="auto"/>
        <w:ind w:firstLine="480"/>
        <w:rPr>
          <w:sz w:val="24"/>
        </w:rPr>
      </w:pPr>
      <w:r>
        <w:rPr>
          <w:rFonts w:hint="eastAsia"/>
          <w:sz w:val="24"/>
        </w:rPr>
        <w:t>香农公式；（简单应用）</w:t>
      </w:r>
    </w:p>
    <w:p w14:paraId="622F6BC3">
      <w:pPr>
        <w:spacing w:line="276" w:lineRule="auto"/>
        <w:ind w:firstLine="480" w:firstLineChars="200"/>
        <w:rPr>
          <w:sz w:val="24"/>
        </w:rPr>
      </w:pPr>
      <w:r>
        <w:rPr>
          <w:rFonts w:hint="eastAsia"/>
          <w:sz w:val="24"/>
        </w:rPr>
        <w:t>（3）通信介质：双绞线、同轴电缆、光纤；（识记）</w:t>
      </w:r>
    </w:p>
    <w:p w14:paraId="5045FCEB">
      <w:pPr>
        <w:spacing w:line="276" w:lineRule="auto"/>
        <w:ind w:firstLine="480" w:firstLineChars="200"/>
        <w:rPr>
          <w:sz w:val="24"/>
        </w:rPr>
      </w:pPr>
      <w:r>
        <w:rPr>
          <w:rFonts w:hint="eastAsia"/>
          <w:sz w:val="24"/>
        </w:rPr>
        <w:t>（4）信道复用技术：</w:t>
      </w:r>
      <w:r>
        <w:rPr>
          <w:rFonts w:hint="eastAsia"/>
          <w:color w:val="000000"/>
          <w:sz w:val="24"/>
        </w:rPr>
        <w:t>包括复用的概念，频分复用、时分复用、码分多址的工作原理等</w:t>
      </w:r>
      <w:r>
        <w:rPr>
          <w:rFonts w:hint="eastAsia"/>
          <w:sz w:val="24"/>
        </w:rPr>
        <w:t>；（简单应用）</w:t>
      </w:r>
    </w:p>
    <w:p w14:paraId="28049E7C">
      <w:pPr>
        <w:spacing w:line="276" w:lineRule="auto"/>
        <w:ind w:firstLine="480" w:firstLineChars="200"/>
        <w:rPr>
          <w:sz w:val="24"/>
        </w:rPr>
      </w:pPr>
      <w:r>
        <w:rPr>
          <w:rFonts w:hint="eastAsia"/>
          <w:sz w:val="24"/>
        </w:rPr>
        <w:t>（5）宽带接入技术。（识记）</w:t>
      </w:r>
    </w:p>
    <w:p w14:paraId="5440D017">
      <w:pPr>
        <w:spacing w:before="312" w:beforeLines="100" w:line="276" w:lineRule="auto"/>
        <w:ind w:firstLine="482" w:firstLineChars="200"/>
        <w:jc w:val="center"/>
        <w:rPr>
          <w:b/>
          <w:bCs/>
          <w:sz w:val="24"/>
        </w:rPr>
      </w:pPr>
      <w:r>
        <w:rPr>
          <w:rFonts w:hint="eastAsia"/>
          <w:b/>
          <w:bCs/>
          <w:sz w:val="24"/>
        </w:rPr>
        <w:t>第三章 数据链路层</w:t>
      </w:r>
    </w:p>
    <w:p w14:paraId="557BE26A">
      <w:pPr>
        <w:spacing w:line="276" w:lineRule="auto"/>
        <w:ind w:firstLine="480" w:firstLineChars="200"/>
        <w:rPr>
          <w:sz w:val="24"/>
        </w:rPr>
      </w:pPr>
      <w:r>
        <w:rPr>
          <w:rFonts w:hint="eastAsia"/>
          <w:sz w:val="24"/>
        </w:rPr>
        <w:t>（1）数据链路层两种信道类型：点对点信道、广播信道；（识记）</w:t>
      </w:r>
    </w:p>
    <w:p w14:paraId="0CA9D11B">
      <w:pPr>
        <w:spacing w:line="276" w:lineRule="auto"/>
        <w:ind w:firstLine="480" w:firstLineChars="200"/>
        <w:rPr>
          <w:sz w:val="24"/>
        </w:rPr>
      </w:pPr>
      <w:r>
        <w:rPr>
          <w:rFonts w:hint="eastAsia"/>
          <w:sz w:val="24"/>
        </w:rPr>
        <w:t>（2）数据链路的基本概念和分类；（领会）</w:t>
      </w:r>
    </w:p>
    <w:p w14:paraId="69C7AF0E">
      <w:pPr>
        <w:spacing w:line="276" w:lineRule="auto"/>
        <w:ind w:firstLine="480" w:firstLineChars="200"/>
        <w:rPr>
          <w:sz w:val="24"/>
        </w:rPr>
      </w:pPr>
      <w:r>
        <w:rPr>
          <w:rFonts w:hint="eastAsia"/>
          <w:sz w:val="24"/>
        </w:rPr>
        <w:t>（3）数据链路层三个基本问题：</w:t>
      </w:r>
    </w:p>
    <w:p w14:paraId="2C939968">
      <w:pPr>
        <w:pStyle w:val="13"/>
        <w:numPr>
          <w:ilvl w:val="0"/>
          <w:numId w:val="2"/>
        </w:numPr>
        <w:spacing w:line="276" w:lineRule="auto"/>
        <w:ind w:firstLine="480"/>
        <w:rPr>
          <w:sz w:val="24"/>
        </w:rPr>
      </w:pPr>
      <w:r>
        <w:rPr>
          <w:rFonts w:hint="eastAsia"/>
          <w:sz w:val="24"/>
        </w:rPr>
        <w:t>封装成帧；（简单应用）</w:t>
      </w:r>
    </w:p>
    <w:p w14:paraId="35710525">
      <w:pPr>
        <w:pStyle w:val="13"/>
        <w:numPr>
          <w:ilvl w:val="0"/>
          <w:numId w:val="2"/>
        </w:numPr>
        <w:spacing w:line="276" w:lineRule="auto"/>
        <w:ind w:firstLine="480"/>
        <w:rPr>
          <w:sz w:val="24"/>
        </w:rPr>
      </w:pPr>
      <w:r>
        <w:rPr>
          <w:rFonts w:hint="eastAsia"/>
          <w:sz w:val="24"/>
        </w:rPr>
        <w:t>透明传输；（简单应用）</w:t>
      </w:r>
    </w:p>
    <w:p w14:paraId="4BDF3887">
      <w:pPr>
        <w:pStyle w:val="13"/>
        <w:numPr>
          <w:ilvl w:val="0"/>
          <w:numId w:val="2"/>
        </w:numPr>
        <w:spacing w:line="276" w:lineRule="auto"/>
        <w:ind w:firstLine="480"/>
        <w:rPr>
          <w:sz w:val="24"/>
        </w:rPr>
      </w:pPr>
      <w:r>
        <w:rPr>
          <w:rFonts w:hint="eastAsia"/>
          <w:sz w:val="24"/>
        </w:rPr>
        <w:t>差错检测：CRC循环冗余检验法；（简单应用）</w:t>
      </w:r>
    </w:p>
    <w:p w14:paraId="4D8875F3">
      <w:pPr>
        <w:spacing w:line="276" w:lineRule="auto"/>
        <w:ind w:firstLine="480" w:firstLineChars="200"/>
        <w:rPr>
          <w:sz w:val="24"/>
        </w:rPr>
      </w:pPr>
      <w:r>
        <w:rPr>
          <w:rFonts w:hint="eastAsia"/>
          <w:sz w:val="24"/>
        </w:rPr>
        <w:t>（4）PPP协议：特点、帧格式、</w:t>
      </w:r>
      <w:r>
        <w:rPr>
          <w:rFonts w:hint="eastAsia"/>
          <w:color w:val="000000"/>
          <w:sz w:val="24"/>
        </w:rPr>
        <w:t>同步传输的零比特填充法</w:t>
      </w:r>
      <w:r>
        <w:rPr>
          <w:rFonts w:hint="eastAsia"/>
          <w:sz w:val="24"/>
        </w:rPr>
        <w:t>；（识记）</w:t>
      </w:r>
    </w:p>
    <w:p w14:paraId="0721BC21">
      <w:pPr>
        <w:spacing w:line="276" w:lineRule="auto"/>
        <w:ind w:firstLine="480" w:firstLineChars="200"/>
        <w:rPr>
          <w:sz w:val="24"/>
        </w:rPr>
      </w:pPr>
      <w:r>
        <w:rPr>
          <w:rFonts w:hint="eastAsia"/>
          <w:sz w:val="24"/>
        </w:rPr>
        <w:t>（5）局域网的特点；（领会）</w:t>
      </w:r>
    </w:p>
    <w:p w14:paraId="343AF117">
      <w:pPr>
        <w:spacing w:line="276" w:lineRule="auto"/>
        <w:ind w:firstLine="480" w:firstLineChars="200"/>
        <w:rPr>
          <w:sz w:val="24"/>
        </w:rPr>
      </w:pPr>
      <w:r>
        <w:rPr>
          <w:rFonts w:hint="eastAsia"/>
          <w:sz w:val="24"/>
        </w:rPr>
        <w:t>（6）CSMA/CD协议、退避算法等；（综合应用）</w:t>
      </w:r>
    </w:p>
    <w:p w14:paraId="543FD48C">
      <w:pPr>
        <w:spacing w:line="276" w:lineRule="auto"/>
        <w:ind w:firstLine="480" w:firstLineChars="200"/>
        <w:rPr>
          <w:sz w:val="24"/>
        </w:rPr>
      </w:pPr>
      <w:r>
        <w:rPr>
          <w:rFonts w:hint="eastAsia"/>
          <w:sz w:val="24"/>
        </w:rPr>
        <w:t>（7）以太网的最小帧长问题；（理解）</w:t>
      </w:r>
    </w:p>
    <w:p w14:paraId="2FC9ECDB">
      <w:pPr>
        <w:spacing w:line="276" w:lineRule="auto"/>
        <w:ind w:firstLine="480" w:firstLineChars="200"/>
        <w:rPr>
          <w:sz w:val="24"/>
        </w:rPr>
      </w:pPr>
      <w:r>
        <w:rPr>
          <w:rFonts w:hint="eastAsia"/>
          <w:sz w:val="24"/>
        </w:rPr>
        <w:t>（8）以太网MAC地址、MAC帧的格式（DIX Ethernet V2 帧格式）；（识记）</w:t>
      </w:r>
    </w:p>
    <w:p w14:paraId="709059E8">
      <w:pPr>
        <w:spacing w:line="276" w:lineRule="auto"/>
        <w:ind w:firstLine="480" w:firstLineChars="200"/>
        <w:rPr>
          <w:sz w:val="24"/>
        </w:rPr>
      </w:pPr>
      <w:r>
        <w:rPr>
          <w:rFonts w:hint="eastAsia"/>
          <w:sz w:val="24"/>
        </w:rPr>
        <w:t>（9）扩展以太网：包括物理层扩展以太网和数据链路层扩展以太网；（识记）</w:t>
      </w:r>
    </w:p>
    <w:p w14:paraId="6CD61D01">
      <w:pPr>
        <w:spacing w:line="276" w:lineRule="auto"/>
        <w:ind w:firstLine="480" w:firstLineChars="200"/>
        <w:rPr>
          <w:sz w:val="24"/>
        </w:rPr>
      </w:pPr>
      <w:r>
        <w:rPr>
          <w:rFonts w:hint="eastAsia"/>
          <w:sz w:val="24"/>
        </w:rPr>
        <w:t>（10）交换式以太网。（综合应用）</w:t>
      </w:r>
    </w:p>
    <w:p w14:paraId="6D2395CA">
      <w:pPr>
        <w:spacing w:before="312" w:beforeLines="100" w:line="276" w:lineRule="auto"/>
        <w:ind w:firstLine="482" w:firstLineChars="200"/>
        <w:jc w:val="center"/>
        <w:rPr>
          <w:b/>
          <w:bCs/>
          <w:sz w:val="24"/>
        </w:rPr>
      </w:pPr>
      <w:r>
        <w:rPr>
          <w:rFonts w:hint="eastAsia"/>
          <w:b/>
          <w:bCs/>
          <w:sz w:val="24"/>
        </w:rPr>
        <w:t>第四章 网络层</w:t>
      </w:r>
    </w:p>
    <w:p w14:paraId="09364BEA">
      <w:pPr>
        <w:spacing w:line="276" w:lineRule="auto"/>
        <w:ind w:firstLine="480" w:firstLineChars="200"/>
        <w:rPr>
          <w:sz w:val="24"/>
        </w:rPr>
      </w:pPr>
      <w:r>
        <w:rPr>
          <w:rFonts w:hint="eastAsia"/>
          <w:sz w:val="24"/>
        </w:rPr>
        <w:t>（1）网络层的主要功能、网络层两种服务类型的特点；(领会)</w:t>
      </w:r>
    </w:p>
    <w:p w14:paraId="030B0848">
      <w:pPr>
        <w:spacing w:line="276" w:lineRule="auto"/>
        <w:ind w:firstLine="480" w:firstLineChars="200"/>
        <w:rPr>
          <w:sz w:val="24"/>
        </w:rPr>
      </w:pPr>
      <w:r>
        <w:rPr>
          <w:rFonts w:hint="eastAsia"/>
          <w:sz w:val="24"/>
        </w:rPr>
        <w:t>（2）IP地址：</w:t>
      </w:r>
    </w:p>
    <w:p w14:paraId="59497571">
      <w:pPr>
        <w:pStyle w:val="13"/>
        <w:numPr>
          <w:ilvl w:val="0"/>
          <w:numId w:val="3"/>
        </w:numPr>
        <w:spacing w:line="276" w:lineRule="auto"/>
        <w:ind w:firstLine="480"/>
        <w:rPr>
          <w:sz w:val="24"/>
        </w:rPr>
      </w:pPr>
      <w:r>
        <w:rPr>
          <w:rFonts w:hint="eastAsia"/>
          <w:sz w:val="24"/>
        </w:rPr>
        <w:t>分类IP地址；（识记）</w:t>
      </w:r>
    </w:p>
    <w:p w14:paraId="722B4E3C">
      <w:pPr>
        <w:pStyle w:val="13"/>
        <w:numPr>
          <w:ilvl w:val="0"/>
          <w:numId w:val="3"/>
        </w:numPr>
        <w:spacing w:line="276" w:lineRule="auto"/>
        <w:ind w:firstLine="480"/>
        <w:rPr>
          <w:sz w:val="24"/>
        </w:rPr>
      </w:pPr>
      <w:r>
        <w:rPr>
          <w:rFonts w:hint="eastAsia"/>
          <w:sz w:val="24"/>
        </w:rPr>
        <w:t>构造超网CIDR：地址块首地址和末地址的计算方法、地址块划分方法、路由聚合等；（综合应用）</w:t>
      </w:r>
    </w:p>
    <w:p w14:paraId="02655102">
      <w:pPr>
        <w:spacing w:line="276" w:lineRule="auto"/>
        <w:ind w:firstLine="480" w:firstLineChars="200"/>
        <w:rPr>
          <w:sz w:val="24"/>
        </w:rPr>
      </w:pPr>
      <w:r>
        <w:rPr>
          <w:rFonts w:hint="eastAsia"/>
          <w:sz w:val="24"/>
        </w:rPr>
        <w:t>（3）地址解析协议ARP的工作原理（IP地址</w:t>
      </w:r>
      <w:r>
        <w:rPr>
          <w:sz w:val="24"/>
        </w:rPr>
        <w:sym w:font="Wingdings" w:char="F0E0"/>
      </w:r>
      <w:r>
        <w:rPr>
          <w:rFonts w:hint="eastAsia"/>
          <w:sz w:val="24"/>
        </w:rPr>
        <w:t>物理地址）；（领会）</w:t>
      </w:r>
    </w:p>
    <w:p w14:paraId="03E15AEC">
      <w:pPr>
        <w:spacing w:line="276" w:lineRule="auto"/>
        <w:ind w:firstLine="480" w:firstLineChars="200"/>
        <w:rPr>
          <w:sz w:val="24"/>
        </w:rPr>
      </w:pPr>
      <w:r>
        <w:rPr>
          <w:rFonts w:hint="eastAsia"/>
          <w:sz w:val="24"/>
        </w:rPr>
        <w:t>（4）IP数据报的格式：首部长度，总长度，标志（flag），协议，片偏移，首部检验和，掌握IP数据报分片；（识记、综合应用）</w:t>
      </w:r>
    </w:p>
    <w:p w14:paraId="7769D51E">
      <w:pPr>
        <w:spacing w:line="276" w:lineRule="auto"/>
        <w:ind w:firstLine="480" w:firstLineChars="200"/>
        <w:rPr>
          <w:sz w:val="24"/>
        </w:rPr>
      </w:pPr>
      <w:r>
        <w:rPr>
          <w:rFonts w:hint="eastAsia"/>
          <w:sz w:val="24"/>
        </w:rPr>
        <w:t>（5）IP层的分组转发算法、最长前缀匹配等；（理解）</w:t>
      </w:r>
    </w:p>
    <w:p w14:paraId="3221D860">
      <w:pPr>
        <w:spacing w:line="276" w:lineRule="auto"/>
        <w:ind w:firstLine="480" w:firstLineChars="200"/>
        <w:rPr>
          <w:sz w:val="24"/>
        </w:rPr>
      </w:pPr>
      <w:r>
        <w:rPr>
          <w:rFonts w:hint="eastAsia"/>
          <w:sz w:val="24"/>
        </w:rPr>
        <w:t>（6）网际控制报文协议ICMP的种类、I</w:t>
      </w:r>
      <w:r>
        <w:rPr>
          <w:sz w:val="24"/>
        </w:rPr>
        <w:t>CMP</w:t>
      </w:r>
      <w:r>
        <w:rPr>
          <w:rFonts w:hint="eastAsia"/>
          <w:sz w:val="24"/>
        </w:rPr>
        <w:t>报文的封装、I</w:t>
      </w:r>
      <w:r>
        <w:rPr>
          <w:sz w:val="24"/>
        </w:rPr>
        <w:t>CMP</w:t>
      </w:r>
      <w:r>
        <w:rPr>
          <w:rFonts w:hint="eastAsia"/>
          <w:sz w:val="24"/>
        </w:rPr>
        <w:t>的两个应用（PING、traceroute）；（识记、领会）</w:t>
      </w:r>
    </w:p>
    <w:p w14:paraId="5776A893">
      <w:pPr>
        <w:spacing w:line="276" w:lineRule="auto"/>
        <w:ind w:firstLine="480" w:firstLineChars="200"/>
        <w:rPr>
          <w:sz w:val="24"/>
        </w:rPr>
      </w:pPr>
      <w:r>
        <w:rPr>
          <w:rFonts w:hint="eastAsia"/>
          <w:sz w:val="24"/>
        </w:rPr>
        <w:t>（7）路由选择协议的分类：内部网关协议IGP（域内路由选择，如RIP和OSPF）和外部网关协议EGP（域间路由选择，如BGP-4）；（识记）</w:t>
      </w:r>
    </w:p>
    <w:p w14:paraId="7E2DF71A">
      <w:pPr>
        <w:spacing w:line="276" w:lineRule="auto"/>
        <w:ind w:firstLine="480" w:firstLineChars="200"/>
        <w:rPr>
          <w:sz w:val="24"/>
        </w:rPr>
      </w:pPr>
      <w:r>
        <w:rPr>
          <w:rFonts w:hint="eastAsia"/>
          <w:sz w:val="24"/>
        </w:rPr>
        <w:t>（8）内部网关协议RIP（路由信息协议）的特点及距离向量算法；（简单应用）</w:t>
      </w:r>
    </w:p>
    <w:p w14:paraId="446D8945">
      <w:pPr>
        <w:spacing w:line="276" w:lineRule="auto"/>
        <w:ind w:firstLine="480" w:firstLineChars="200"/>
        <w:rPr>
          <w:sz w:val="24"/>
        </w:rPr>
      </w:pPr>
      <w:r>
        <w:rPr>
          <w:rFonts w:hint="eastAsia"/>
          <w:sz w:val="24"/>
        </w:rPr>
        <w:t>（9）</w:t>
      </w:r>
      <w:r>
        <w:rPr>
          <w:rFonts w:hint="eastAsia"/>
          <w:color w:val="000000"/>
          <w:sz w:val="24"/>
        </w:rPr>
        <w:t>OSPF协议工作原理、特点等</w:t>
      </w:r>
      <w:r>
        <w:rPr>
          <w:rFonts w:hint="eastAsia"/>
          <w:sz w:val="24"/>
        </w:rPr>
        <w:t>；（识记）</w:t>
      </w:r>
    </w:p>
    <w:p w14:paraId="3937FA67">
      <w:pPr>
        <w:spacing w:line="276" w:lineRule="auto"/>
        <w:ind w:firstLine="480" w:firstLineChars="200"/>
        <w:rPr>
          <w:sz w:val="24"/>
        </w:rPr>
      </w:pPr>
      <w:r>
        <w:rPr>
          <w:rFonts w:hint="eastAsia"/>
          <w:sz w:val="24"/>
        </w:rPr>
        <w:t>（10）IPv6：</w:t>
      </w:r>
    </w:p>
    <w:p w14:paraId="338E0F32">
      <w:pPr>
        <w:pStyle w:val="13"/>
        <w:numPr>
          <w:ilvl w:val="0"/>
          <w:numId w:val="4"/>
        </w:numPr>
        <w:spacing w:line="276" w:lineRule="auto"/>
        <w:ind w:firstLine="480"/>
        <w:rPr>
          <w:sz w:val="24"/>
        </w:rPr>
      </w:pPr>
      <w:r>
        <w:rPr>
          <w:rFonts w:hint="eastAsia"/>
          <w:sz w:val="24"/>
        </w:rPr>
        <w:t>IPv6的表示方法（冒号十六进制记法、零省略、零压缩、点分十进制记法后缀）；（理解）</w:t>
      </w:r>
    </w:p>
    <w:p w14:paraId="6BE9B978">
      <w:pPr>
        <w:pStyle w:val="13"/>
        <w:numPr>
          <w:ilvl w:val="0"/>
          <w:numId w:val="4"/>
        </w:numPr>
        <w:spacing w:line="276" w:lineRule="auto"/>
        <w:ind w:firstLine="480"/>
        <w:rPr>
          <w:sz w:val="24"/>
        </w:rPr>
      </w:pPr>
      <w:r>
        <w:rPr>
          <w:rFonts w:hint="eastAsia"/>
          <w:sz w:val="24"/>
        </w:rPr>
        <w:t>IPv4向IPv6过渡的两种技术：双协议栈技术和隧道技术。（识记）</w:t>
      </w:r>
    </w:p>
    <w:p w14:paraId="007D154D">
      <w:pPr>
        <w:spacing w:before="312" w:beforeLines="100" w:line="276" w:lineRule="auto"/>
        <w:ind w:firstLine="482" w:firstLineChars="200"/>
        <w:jc w:val="center"/>
        <w:rPr>
          <w:b/>
          <w:bCs/>
          <w:sz w:val="24"/>
        </w:rPr>
      </w:pPr>
      <w:r>
        <w:rPr>
          <w:rFonts w:hint="eastAsia"/>
          <w:b/>
          <w:bCs/>
          <w:sz w:val="24"/>
        </w:rPr>
        <w:t>第五章 传输层</w:t>
      </w:r>
    </w:p>
    <w:p w14:paraId="59A6E33E">
      <w:pPr>
        <w:spacing w:line="276" w:lineRule="auto"/>
        <w:ind w:firstLine="480" w:firstLineChars="200"/>
        <w:rPr>
          <w:sz w:val="24"/>
        </w:rPr>
      </w:pPr>
      <w:r>
        <w:rPr>
          <w:rFonts w:hint="eastAsia"/>
          <w:sz w:val="24"/>
        </w:rPr>
        <w:t>（1）运输层的两种不同的运输协议：面向连接的TCP和无连接的UDP；（领会）</w:t>
      </w:r>
    </w:p>
    <w:p w14:paraId="7268AB2C">
      <w:pPr>
        <w:spacing w:line="276" w:lineRule="auto"/>
        <w:ind w:firstLine="480" w:firstLineChars="200"/>
        <w:rPr>
          <w:sz w:val="24"/>
        </w:rPr>
      </w:pPr>
      <w:r>
        <w:rPr>
          <w:rFonts w:hint="eastAsia"/>
          <w:sz w:val="24"/>
        </w:rPr>
        <w:t>（2）进程间的通信；（领会）</w:t>
      </w:r>
    </w:p>
    <w:p w14:paraId="347BA0A2">
      <w:pPr>
        <w:spacing w:line="276" w:lineRule="auto"/>
        <w:ind w:firstLine="480" w:firstLineChars="200"/>
        <w:rPr>
          <w:sz w:val="24"/>
        </w:rPr>
      </w:pPr>
      <w:r>
        <w:rPr>
          <w:rFonts w:hint="eastAsia"/>
          <w:sz w:val="24"/>
        </w:rPr>
        <w:t>（3）运输层端口号的分类及范围；（识记）</w:t>
      </w:r>
    </w:p>
    <w:p w14:paraId="05CE4531">
      <w:pPr>
        <w:spacing w:line="276" w:lineRule="auto"/>
        <w:ind w:firstLine="480" w:firstLineChars="200"/>
        <w:rPr>
          <w:sz w:val="24"/>
        </w:rPr>
      </w:pPr>
      <w:r>
        <w:rPr>
          <w:rFonts w:hint="eastAsia"/>
          <w:sz w:val="24"/>
        </w:rPr>
        <w:t>（4）UDP的主要特点；（领会）</w:t>
      </w:r>
    </w:p>
    <w:p w14:paraId="55411036">
      <w:pPr>
        <w:spacing w:line="276" w:lineRule="auto"/>
        <w:ind w:firstLine="480" w:firstLineChars="200"/>
        <w:rPr>
          <w:sz w:val="24"/>
        </w:rPr>
      </w:pPr>
      <w:r>
        <w:rPr>
          <w:rFonts w:hint="eastAsia"/>
          <w:sz w:val="24"/>
        </w:rPr>
        <w:t>（5）TCP最主要的特点、TCP的连接、报文格式；（领会）</w:t>
      </w:r>
    </w:p>
    <w:p w14:paraId="3C17D649">
      <w:pPr>
        <w:spacing w:line="276" w:lineRule="auto"/>
        <w:ind w:firstLine="480" w:firstLineChars="200"/>
        <w:rPr>
          <w:sz w:val="24"/>
        </w:rPr>
      </w:pPr>
      <w:r>
        <w:rPr>
          <w:rFonts w:hint="eastAsia"/>
          <w:sz w:val="24"/>
        </w:rPr>
        <w:t>（6）TCP报文段的首部格式；（领会）</w:t>
      </w:r>
    </w:p>
    <w:p w14:paraId="79849338">
      <w:pPr>
        <w:spacing w:line="276" w:lineRule="auto"/>
        <w:ind w:firstLine="480" w:firstLineChars="200"/>
        <w:rPr>
          <w:sz w:val="24"/>
        </w:rPr>
      </w:pPr>
      <w:r>
        <w:rPr>
          <w:rFonts w:hint="eastAsia"/>
          <w:sz w:val="24"/>
        </w:rPr>
        <w:t>（7）停止等待协议、TCP可靠传输的实现、超时重传时间RTO的计算；（领会、综合应用）</w:t>
      </w:r>
    </w:p>
    <w:p w14:paraId="6E10D057">
      <w:pPr>
        <w:spacing w:line="276" w:lineRule="auto"/>
        <w:ind w:firstLine="480" w:firstLineChars="200"/>
        <w:rPr>
          <w:sz w:val="24"/>
        </w:rPr>
      </w:pPr>
      <w:r>
        <w:rPr>
          <w:rFonts w:hint="eastAsia"/>
          <w:sz w:val="24"/>
        </w:rPr>
        <w:t>（8）TCP流量控制的实现；（综合应用）</w:t>
      </w:r>
    </w:p>
    <w:p w14:paraId="16158355">
      <w:pPr>
        <w:spacing w:line="276" w:lineRule="auto"/>
        <w:ind w:firstLine="480" w:firstLineChars="200"/>
        <w:rPr>
          <w:sz w:val="24"/>
        </w:rPr>
      </w:pPr>
      <w:r>
        <w:rPr>
          <w:rFonts w:hint="eastAsia"/>
          <w:sz w:val="24"/>
        </w:rPr>
        <w:t>（9）TCP的拥塞控制：常用的拥塞控制的算法；（综合应用）</w:t>
      </w:r>
    </w:p>
    <w:p w14:paraId="525C12BE">
      <w:pPr>
        <w:spacing w:line="276" w:lineRule="auto"/>
        <w:ind w:firstLine="480" w:firstLineChars="200"/>
        <w:rPr>
          <w:sz w:val="24"/>
        </w:rPr>
      </w:pPr>
      <w:r>
        <w:rPr>
          <w:rFonts w:hint="eastAsia"/>
          <w:sz w:val="24"/>
        </w:rPr>
        <w:t>（10）TCP的连接管理。（简单应用）</w:t>
      </w:r>
    </w:p>
    <w:p w14:paraId="3147EC13">
      <w:pPr>
        <w:spacing w:before="312" w:beforeLines="100" w:line="276" w:lineRule="auto"/>
        <w:ind w:firstLine="482" w:firstLineChars="200"/>
        <w:jc w:val="center"/>
        <w:rPr>
          <w:b/>
          <w:bCs/>
          <w:sz w:val="24"/>
        </w:rPr>
      </w:pPr>
      <w:r>
        <w:rPr>
          <w:rFonts w:hint="eastAsia"/>
          <w:b/>
          <w:bCs/>
          <w:sz w:val="24"/>
        </w:rPr>
        <w:t>第六章 应用层</w:t>
      </w:r>
    </w:p>
    <w:p w14:paraId="2F3861B5">
      <w:pPr>
        <w:spacing w:line="276" w:lineRule="auto"/>
        <w:ind w:firstLine="480" w:firstLineChars="200"/>
        <w:rPr>
          <w:sz w:val="24"/>
        </w:rPr>
      </w:pPr>
      <w:r>
        <w:rPr>
          <w:rFonts w:hint="eastAsia"/>
          <w:sz w:val="24"/>
        </w:rPr>
        <w:t>（1）域名系统DNS；（领会）</w:t>
      </w:r>
    </w:p>
    <w:p w14:paraId="21091733">
      <w:pPr>
        <w:spacing w:line="276" w:lineRule="auto"/>
        <w:ind w:firstLine="480" w:firstLineChars="200"/>
        <w:rPr>
          <w:sz w:val="24"/>
        </w:rPr>
      </w:pPr>
      <w:r>
        <w:rPr>
          <w:rFonts w:hint="eastAsia"/>
          <w:sz w:val="24"/>
        </w:rPr>
        <w:t>（2）统一资源定位符 URL；（领会）</w:t>
      </w:r>
    </w:p>
    <w:p w14:paraId="74CBCD13">
      <w:pPr>
        <w:spacing w:line="276" w:lineRule="auto"/>
        <w:ind w:firstLine="480" w:firstLineChars="200"/>
        <w:rPr>
          <w:sz w:val="24"/>
        </w:rPr>
      </w:pPr>
      <w:r>
        <w:rPr>
          <w:rFonts w:hint="eastAsia"/>
          <w:sz w:val="24"/>
        </w:rPr>
        <w:t>（3）WWW网；（领会）</w:t>
      </w:r>
    </w:p>
    <w:p w14:paraId="49875208">
      <w:pPr>
        <w:spacing w:line="276" w:lineRule="auto"/>
        <w:ind w:firstLine="480" w:firstLineChars="200"/>
        <w:rPr>
          <w:sz w:val="24"/>
        </w:rPr>
      </w:pPr>
      <w:r>
        <w:rPr>
          <w:rFonts w:hint="eastAsia"/>
          <w:sz w:val="24"/>
        </w:rPr>
        <w:t>（4）HTTP协议。（简单应用）</w:t>
      </w:r>
    </w:p>
    <w:p w14:paraId="6762C7C2">
      <w:pPr>
        <w:spacing w:before="312" w:beforeLines="100" w:after="312" w:afterLines="100" w:line="400" w:lineRule="exact"/>
        <w:rPr>
          <w:rFonts w:eastAsia="黑体"/>
          <w:b/>
          <w:bCs/>
          <w:sz w:val="28"/>
          <w:szCs w:val="28"/>
        </w:rPr>
      </w:pPr>
      <w:r>
        <w:rPr>
          <w:rFonts w:hint="eastAsia" w:eastAsia="黑体"/>
          <w:b/>
          <w:bCs/>
          <w:sz w:val="28"/>
          <w:szCs w:val="28"/>
        </w:rPr>
        <w:t>三、考试题型及样卷</w:t>
      </w:r>
    </w:p>
    <w:p w14:paraId="539648EC">
      <w:pPr>
        <w:jc w:val="center"/>
        <w:rPr>
          <w:rFonts w:ascii="黑体" w:eastAsia="黑体"/>
          <w:sz w:val="30"/>
          <w:szCs w:val="30"/>
          <w:u w:val="single"/>
        </w:rPr>
      </w:pPr>
      <w:r>
        <w:rPr>
          <w:rFonts w:hint="eastAsia" w:ascii="黑体" w:eastAsia="黑体"/>
          <w:sz w:val="30"/>
          <w:szCs w:val="30"/>
        </w:rPr>
        <w:t>福建师范大学___年高等学历继续教育本科毕业生学业水平测试题目卷</w:t>
      </w:r>
    </w:p>
    <w:p w14:paraId="72AEFCC6">
      <w:pPr>
        <w:spacing w:before="156" w:beforeLines="50" w:after="156" w:afterLines="50" w:line="400" w:lineRule="exact"/>
        <w:jc w:val="center"/>
        <w:rPr>
          <w:rFonts w:hint="eastAsia" w:ascii="楷体_GB2312" w:hAnsi="华文中宋" w:eastAsia="楷体_GB2312"/>
          <w:b/>
          <w:sz w:val="30"/>
          <w:szCs w:val="30"/>
        </w:rPr>
      </w:pPr>
      <w:r>
        <w:rPr>
          <w:rFonts w:hint="eastAsia" w:ascii="楷体_GB2312" w:eastAsia="楷体_GB2312"/>
          <w:b/>
          <w:sz w:val="30"/>
          <w:szCs w:val="30"/>
        </w:rPr>
        <w:t>《计算机网络与通讯》A/B卷    开</w:t>
      </w:r>
      <w:r>
        <w:rPr>
          <w:rFonts w:hint="eastAsia" w:ascii="楷体_GB2312" w:hAnsi="华文中宋" w:eastAsia="楷体_GB2312"/>
          <w:b/>
          <w:sz w:val="30"/>
          <w:szCs w:val="30"/>
        </w:rPr>
        <w:t>卷</w:t>
      </w:r>
    </w:p>
    <w:p w14:paraId="0D64F2FA">
      <w:pPr>
        <w:jc w:val="center"/>
        <w:rPr>
          <w:rFonts w:ascii="宋体" w:hAnsi="宋体"/>
          <w:sz w:val="24"/>
        </w:rPr>
      </w:pPr>
      <w:r>
        <w:rPr>
          <w:rFonts w:ascii="宋体" w:hAnsi="宋体"/>
          <w:sz w:val="24"/>
        </w:rPr>
        <w:t>注 意 事 项</w:t>
      </w:r>
    </w:p>
    <w:p w14:paraId="74CA2035">
      <w:pPr>
        <w:rPr>
          <w:rFonts w:ascii="宋体" w:hAnsi="宋体"/>
          <w:sz w:val="24"/>
        </w:rPr>
      </w:pPr>
      <w:r>
        <w:rPr>
          <w:rFonts w:ascii="宋体" w:hAnsi="宋体"/>
          <w:sz w:val="24"/>
        </w:rPr>
        <w:t>一、请根据系统提示正确输入个人信息后登录考试系统。</w:t>
      </w:r>
    </w:p>
    <w:p w14:paraId="094284B9">
      <w:pPr>
        <w:rPr>
          <w:rFonts w:ascii="宋体" w:hAnsi="宋体"/>
          <w:sz w:val="24"/>
        </w:rPr>
      </w:pPr>
      <w:r>
        <w:rPr>
          <w:rFonts w:ascii="宋体" w:hAnsi="宋体"/>
          <w:sz w:val="24"/>
        </w:rPr>
        <w:t>二、在100分钟内答完所有试题，不得拖延时间。一旦进入考试系统，系统将开始倒计时，考试中无法暂停或切换为其他与考试无关的界面。</w:t>
      </w:r>
    </w:p>
    <w:p w14:paraId="57EA5D3C">
      <w:pPr>
        <w:rPr>
          <w:rFonts w:ascii="宋体" w:hAnsi="宋体"/>
          <w:sz w:val="24"/>
        </w:rPr>
      </w:pPr>
      <w:r>
        <w:rPr>
          <w:rFonts w:ascii="宋体" w:hAnsi="宋体"/>
          <w:sz w:val="24"/>
        </w:rPr>
        <w:t>三、若提前完成所有答题，可点击“提交”结束考试。提交成功后无法再返回试卷答题。</w:t>
      </w:r>
    </w:p>
    <w:p w14:paraId="0E7EC29E">
      <w:pPr>
        <w:spacing w:before="312" w:beforeLines="100" w:after="156" w:afterLines="50"/>
        <w:rPr>
          <w:b/>
          <w:bCs/>
          <w:sz w:val="24"/>
        </w:rPr>
      </w:pPr>
      <w:r>
        <w:rPr>
          <w:rFonts w:hint="eastAsia"/>
          <w:b/>
          <w:bCs/>
          <w:sz w:val="24"/>
        </w:rPr>
        <w:t>一、单项选择题（本大题共15小题，每小题2分，共30分）</w:t>
      </w:r>
    </w:p>
    <w:p w14:paraId="2FFCF1E1">
      <w:pPr>
        <w:spacing w:before="156" w:beforeLines="50"/>
        <w:ind w:left="360" w:hanging="360" w:hangingChars="150"/>
        <w:rPr>
          <w:color w:val="000000"/>
          <w:sz w:val="24"/>
        </w:rPr>
      </w:pPr>
      <w:r>
        <w:rPr>
          <w:rFonts w:hint="eastAsia"/>
          <w:color w:val="000000"/>
          <w:sz w:val="24"/>
        </w:rPr>
        <w:t>1、10个站点连接到一个10Mb/s以太网集线器，则每一个站点所能得到的带宽为（    ）</w:t>
      </w:r>
    </w:p>
    <w:p w14:paraId="15D80D59">
      <w:pPr>
        <w:autoSpaceDE w:val="0"/>
        <w:autoSpaceDN w:val="0"/>
        <w:adjustRightInd w:val="0"/>
        <w:ind w:firstLine="480" w:firstLineChars="200"/>
        <w:rPr>
          <w:kern w:val="0"/>
          <w:sz w:val="24"/>
        </w:rPr>
      </w:pPr>
      <w:r>
        <w:rPr>
          <w:rFonts w:hint="eastAsia"/>
          <w:kern w:val="0"/>
          <w:sz w:val="24"/>
        </w:rPr>
        <w:t>A、1Mb/s      B、10Mb/s    C、20Mb/s       D、100Mb/s</w:t>
      </w:r>
    </w:p>
    <w:p w14:paraId="1C84C32F">
      <w:pPr>
        <w:spacing w:before="156" w:beforeLines="50"/>
        <w:ind w:left="360" w:hanging="360" w:hangingChars="150"/>
        <w:rPr>
          <w:color w:val="000000"/>
          <w:sz w:val="24"/>
        </w:rPr>
      </w:pPr>
      <w:r>
        <w:rPr>
          <w:rFonts w:hint="eastAsia"/>
          <w:color w:val="000000"/>
          <w:sz w:val="24"/>
        </w:rPr>
        <w:t>2、</w:t>
      </w:r>
      <w:r>
        <w:rPr>
          <w:color w:val="000000"/>
          <w:sz w:val="24"/>
        </w:rPr>
        <w:t>采用曼彻斯特编码，若调制速率为200M Baud，则数据传输率为</w:t>
      </w:r>
      <w:r>
        <w:rPr>
          <w:rFonts w:hint="eastAsia"/>
          <w:color w:val="000000"/>
          <w:sz w:val="24"/>
        </w:rPr>
        <w:t>（    ）</w:t>
      </w:r>
    </w:p>
    <w:p w14:paraId="2C40B03A">
      <w:pPr>
        <w:autoSpaceDE w:val="0"/>
        <w:autoSpaceDN w:val="0"/>
        <w:adjustRightInd w:val="0"/>
        <w:ind w:firstLine="480" w:firstLineChars="200"/>
        <w:rPr>
          <w:kern w:val="0"/>
          <w:sz w:val="24"/>
        </w:rPr>
      </w:pPr>
      <w:r>
        <w:rPr>
          <w:kern w:val="0"/>
          <w:sz w:val="24"/>
        </w:rPr>
        <w:t xml:space="preserve">A、50Mbps </w:t>
      </w:r>
      <w:r>
        <w:rPr>
          <w:rFonts w:hint="eastAsia"/>
          <w:kern w:val="0"/>
          <w:sz w:val="24"/>
        </w:rPr>
        <w:t xml:space="preserve">  B、</w:t>
      </w:r>
      <w:r>
        <w:rPr>
          <w:kern w:val="0"/>
          <w:sz w:val="24"/>
        </w:rPr>
        <w:t>100Mbps</w:t>
      </w:r>
      <w:r>
        <w:rPr>
          <w:rFonts w:hint="eastAsia"/>
          <w:kern w:val="0"/>
          <w:sz w:val="24"/>
        </w:rPr>
        <w:t xml:space="preserve">    </w:t>
      </w:r>
      <w:r>
        <w:rPr>
          <w:kern w:val="0"/>
          <w:sz w:val="24"/>
        </w:rPr>
        <w:t xml:space="preserve">C、200Mbps </w:t>
      </w:r>
      <w:r>
        <w:rPr>
          <w:rFonts w:hint="eastAsia"/>
          <w:kern w:val="0"/>
          <w:sz w:val="24"/>
        </w:rPr>
        <w:t xml:space="preserve">  </w:t>
      </w:r>
      <w:r>
        <w:rPr>
          <w:kern w:val="0"/>
          <w:sz w:val="24"/>
        </w:rPr>
        <w:t>D、400Mbps</w:t>
      </w:r>
    </w:p>
    <w:p w14:paraId="48B565DB">
      <w:pPr>
        <w:spacing w:before="156" w:beforeLines="50"/>
        <w:ind w:left="360" w:hanging="360" w:hangingChars="150"/>
        <w:rPr>
          <w:color w:val="000000"/>
          <w:sz w:val="24"/>
        </w:rPr>
      </w:pPr>
      <w:r>
        <w:rPr>
          <w:rFonts w:hint="eastAsia"/>
          <w:color w:val="000000"/>
          <w:sz w:val="24"/>
        </w:rPr>
        <w:t>3、Tl载波利用脉码调制PCM和时分多路复用TDM技术，其数据传输率为（    ）</w:t>
      </w:r>
    </w:p>
    <w:p w14:paraId="721152A7">
      <w:pPr>
        <w:autoSpaceDE w:val="0"/>
        <w:autoSpaceDN w:val="0"/>
        <w:adjustRightInd w:val="0"/>
        <w:ind w:firstLine="480" w:firstLineChars="200"/>
        <w:rPr>
          <w:kern w:val="0"/>
          <w:sz w:val="24"/>
        </w:rPr>
      </w:pPr>
      <w:r>
        <w:rPr>
          <w:rFonts w:hint="eastAsia"/>
          <w:kern w:val="0"/>
          <w:sz w:val="24"/>
        </w:rPr>
        <w:t>A、1.544Mbps     B、2Mbps      C、2.048Mbps     D、4Mbps</w:t>
      </w:r>
    </w:p>
    <w:p w14:paraId="1D9CD78B">
      <w:pPr>
        <w:spacing w:before="156" w:beforeLines="50"/>
        <w:ind w:left="360" w:hanging="360" w:hangingChars="150"/>
        <w:rPr>
          <w:color w:val="000000"/>
          <w:sz w:val="24"/>
        </w:rPr>
      </w:pPr>
      <w:r>
        <w:rPr>
          <w:rFonts w:hint="eastAsia"/>
          <w:color w:val="000000"/>
          <w:sz w:val="24"/>
        </w:rPr>
        <w:t>4、调制解调器（MODEM）的作用是实现（    ）</w:t>
      </w:r>
    </w:p>
    <w:p w14:paraId="2505A12D">
      <w:pPr>
        <w:autoSpaceDE w:val="0"/>
        <w:autoSpaceDN w:val="0"/>
        <w:adjustRightInd w:val="0"/>
        <w:ind w:firstLine="480" w:firstLineChars="200"/>
        <w:rPr>
          <w:kern w:val="0"/>
          <w:sz w:val="24"/>
        </w:rPr>
      </w:pPr>
      <w:r>
        <w:rPr>
          <w:rFonts w:hint="eastAsia"/>
          <w:kern w:val="0"/>
          <w:sz w:val="24"/>
        </w:rPr>
        <w:t>A、数字数据和数字信号间的转换   B、数字数据和模拟信号间的转换</w:t>
      </w:r>
    </w:p>
    <w:p w14:paraId="6404FF3B">
      <w:pPr>
        <w:autoSpaceDE w:val="0"/>
        <w:autoSpaceDN w:val="0"/>
        <w:adjustRightInd w:val="0"/>
        <w:ind w:firstLine="480" w:firstLineChars="200"/>
        <w:rPr>
          <w:kern w:val="0"/>
          <w:sz w:val="24"/>
        </w:rPr>
      </w:pPr>
      <w:r>
        <w:rPr>
          <w:rFonts w:hint="eastAsia"/>
          <w:kern w:val="0"/>
          <w:sz w:val="24"/>
        </w:rPr>
        <w:t>C、模拟数据和模拟信号间的转换   D、模拟数据和数字信号间的转换</w:t>
      </w:r>
    </w:p>
    <w:p w14:paraId="2EC06A01">
      <w:pPr>
        <w:spacing w:before="156" w:beforeLines="50"/>
        <w:ind w:left="360" w:hanging="360" w:hangingChars="150"/>
        <w:rPr>
          <w:color w:val="000000"/>
          <w:sz w:val="24"/>
        </w:rPr>
      </w:pPr>
      <w:r>
        <w:rPr>
          <w:rFonts w:hint="eastAsia"/>
          <w:color w:val="000000"/>
          <w:sz w:val="24"/>
        </w:rPr>
        <w:t>5、因特网的核心部分主要使用（    ）</w:t>
      </w:r>
    </w:p>
    <w:p w14:paraId="26AF6D99">
      <w:pPr>
        <w:autoSpaceDE w:val="0"/>
        <w:autoSpaceDN w:val="0"/>
        <w:adjustRightInd w:val="0"/>
        <w:ind w:firstLine="480" w:firstLineChars="200"/>
        <w:rPr>
          <w:kern w:val="0"/>
          <w:sz w:val="24"/>
        </w:rPr>
      </w:pPr>
      <w:r>
        <w:rPr>
          <w:kern w:val="0"/>
          <w:sz w:val="24"/>
        </w:rPr>
        <w:t>A</w:t>
      </w:r>
      <w:r>
        <w:rPr>
          <w:rFonts w:hint="eastAsia"/>
          <w:kern w:val="0"/>
          <w:sz w:val="24"/>
        </w:rPr>
        <w:t>、报文交换技术</w:t>
      </w:r>
      <w:r>
        <w:rPr>
          <w:kern w:val="0"/>
          <w:sz w:val="24"/>
        </w:rPr>
        <w:t xml:space="preserve"> </w:t>
      </w:r>
      <w:r>
        <w:rPr>
          <w:rFonts w:hint="eastAsia"/>
          <w:kern w:val="0"/>
          <w:sz w:val="24"/>
        </w:rPr>
        <w:t xml:space="preserve">           </w:t>
      </w:r>
      <w:r>
        <w:rPr>
          <w:kern w:val="0"/>
          <w:sz w:val="24"/>
        </w:rPr>
        <w:t>B</w:t>
      </w:r>
      <w:r>
        <w:rPr>
          <w:rFonts w:hint="eastAsia"/>
          <w:kern w:val="0"/>
          <w:sz w:val="24"/>
        </w:rPr>
        <w:t>、分组交换技术</w:t>
      </w:r>
      <w:r>
        <w:rPr>
          <w:kern w:val="0"/>
          <w:sz w:val="24"/>
        </w:rPr>
        <w:t xml:space="preserve"> </w:t>
      </w:r>
    </w:p>
    <w:p w14:paraId="330C5A21">
      <w:pPr>
        <w:autoSpaceDE w:val="0"/>
        <w:autoSpaceDN w:val="0"/>
        <w:adjustRightInd w:val="0"/>
        <w:ind w:firstLine="480" w:firstLineChars="200"/>
        <w:rPr>
          <w:kern w:val="0"/>
          <w:sz w:val="24"/>
        </w:rPr>
      </w:pPr>
      <w:r>
        <w:rPr>
          <w:kern w:val="0"/>
          <w:sz w:val="24"/>
        </w:rPr>
        <w:t>C</w:t>
      </w:r>
      <w:r>
        <w:rPr>
          <w:rFonts w:hint="eastAsia"/>
          <w:kern w:val="0"/>
          <w:sz w:val="24"/>
        </w:rPr>
        <w:t>、文件交换技术</w:t>
      </w:r>
      <w:r>
        <w:rPr>
          <w:kern w:val="0"/>
          <w:sz w:val="24"/>
        </w:rPr>
        <w:t xml:space="preserve"> </w:t>
      </w:r>
      <w:r>
        <w:rPr>
          <w:rFonts w:hint="eastAsia"/>
          <w:kern w:val="0"/>
          <w:sz w:val="24"/>
        </w:rPr>
        <w:t xml:space="preserve">           </w:t>
      </w:r>
      <w:r>
        <w:rPr>
          <w:kern w:val="0"/>
          <w:sz w:val="24"/>
        </w:rPr>
        <w:t>D</w:t>
      </w:r>
      <w:r>
        <w:rPr>
          <w:rFonts w:hint="eastAsia"/>
          <w:kern w:val="0"/>
          <w:sz w:val="24"/>
        </w:rPr>
        <w:t>、电路交换技术</w:t>
      </w:r>
    </w:p>
    <w:p w14:paraId="7BEA6BC4">
      <w:pPr>
        <w:spacing w:before="156" w:beforeLines="50"/>
        <w:ind w:left="360" w:hanging="360" w:hangingChars="150"/>
        <w:rPr>
          <w:color w:val="000000"/>
          <w:sz w:val="24"/>
        </w:rPr>
      </w:pPr>
      <w:r>
        <w:rPr>
          <w:rFonts w:hint="eastAsia"/>
          <w:color w:val="000000"/>
          <w:sz w:val="24"/>
        </w:rPr>
        <w:t>6、</w:t>
      </w:r>
      <w:r>
        <w:rPr>
          <w:color w:val="000000"/>
          <w:sz w:val="24"/>
        </w:rPr>
        <w:t xml:space="preserve">10BASE-T </w:t>
      </w:r>
      <w:r>
        <w:rPr>
          <w:rFonts w:hint="eastAsia"/>
          <w:color w:val="000000"/>
          <w:sz w:val="24"/>
        </w:rPr>
        <w:t>使用UTP连接网卡与集线器，网卡与集线器之间的双绞线长度最大为（    ）</w:t>
      </w:r>
    </w:p>
    <w:p w14:paraId="6B353EDA">
      <w:pPr>
        <w:autoSpaceDE w:val="0"/>
        <w:autoSpaceDN w:val="0"/>
        <w:adjustRightInd w:val="0"/>
        <w:ind w:firstLine="480" w:firstLineChars="200"/>
        <w:rPr>
          <w:kern w:val="0"/>
          <w:sz w:val="24"/>
        </w:rPr>
      </w:pPr>
      <w:r>
        <w:rPr>
          <w:kern w:val="0"/>
          <w:sz w:val="24"/>
        </w:rPr>
        <w:t>A</w:t>
      </w:r>
      <w:r>
        <w:rPr>
          <w:rFonts w:hint="eastAsia"/>
          <w:kern w:val="0"/>
          <w:sz w:val="24"/>
        </w:rPr>
        <w:t>、</w:t>
      </w:r>
      <w:r>
        <w:rPr>
          <w:kern w:val="0"/>
          <w:sz w:val="24"/>
        </w:rPr>
        <w:t xml:space="preserve">15 </w:t>
      </w:r>
      <w:r>
        <w:rPr>
          <w:rFonts w:hint="eastAsia"/>
          <w:kern w:val="0"/>
          <w:sz w:val="24"/>
        </w:rPr>
        <w:t xml:space="preserve">米      </w:t>
      </w:r>
      <w:r>
        <w:rPr>
          <w:kern w:val="0"/>
          <w:sz w:val="24"/>
        </w:rPr>
        <w:t xml:space="preserve"> B</w:t>
      </w:r>
      <w:r>
        <w:rPr>
          <w:rFonts w:hint="eastAsia"/>
          <w:kern w:val="0"/>
          <w:sz w:val="24"/>
        </w:rPr>
        <w:t>、</w:t>
      </w:r>
      <w:r>
        <w:rPr>
          <w:kern w:val="0"/>
          <w:sz w:val="24"/>
        </w:rPr>
        <w:t xml:space="preserve">50 </w:t>
      </w:r>
      <w:r>
        <w:rPr>
          <w:rFonts w:hint="eastAsia"/>
          <w:kern w:val="0"/>
          <w:sz w:val="24"/>
        </w:rPr>
        <w:t>米</w:t>
      </w:r>
      <w:r>
        <w:rPr>
          <w:kern w:val="0"/>
          <w:sz w:val="24"/>
        </w:rPr>
        <w:t xml:space="preserve"> </w:t>
      </w:r>
      <w:r>
        <w:rPr>
          <w:rFonts w:hint="eastAsia"/>
          <w:kern w:val="0"/>
          <w:sz w:val="24"/>
        </w:rPr>
        <w:t xml:space="preserve">    </w:t>
      </w:r>
      <w:r>
        <w:rPr>
          <w:kern w:val="0"/>
          <w:sz w:val="24"/>
        </w:rPr>
        <w:t>C</w:t>
      </w:r>
      <w:r>
        <w:rPr>
          <w:rFonts w:hint="eastAsia"/>
          <w:kern w:val="0"/>
          <w:sz w:val="24"/>
        </w:rPr>
        <w:t>、</w:t>
      </w:r>
      <w:r>
        <w:rPr>
          <w:kern w:val="0"/>
          <w:sz w:val="24"/>
        </w:rPr>
        <w:t xml:space="preserve">100 </w:t>
      </w:r>
      <w:r>
        <w:rPr>
          <w:rFonts w:hint="eastAsia"/>
          <w:kern w:val="0"/>
          <w:sz w:val="24"/>
        </w:rPr>
        <w:t>米</w:t>
      </w:r>
      <w:r>
        <w:rPr>
          <w:kern w:val="0"/>
          <w:sz w:val="24"/>
        </w:rPr>
        <w:t xml:space="preserve"> </w:t>
      </w:r>
      <w:r>
        <w:rPr>
          <w:rFonts w:hint="eastAsia"/>
          <w:kern w:val="0"/>
          <w:sz w:val="24"/>
        </w:rPr>
        <w:t xml:space="preserve">    </w:t>
      </w:r>
      <w:r>
        <w:rPr>
          <w:kern w:val="0"/>
          <w:sz w:val="24"/>
        </w:rPr>
        <w:t>D</w:t>
      </w:r>
      <w:r>
        <w:rPr>
          <w:rFonts w:hint="eastAsia"/>
          <w:kern w:val="0"/>
          <w:sz w:val="24"/>
        </w:rPr>
        <w:t>、</w:t>
      </w:r>
      <w:r>
        <w:rPr>
          <w:kern w:val="0"/>
          <w:sz w:val="24"/>
        </w:rPr>
        <w:t xml:space="preserve">500 </w:t>
      </w:r>
      <w:r>
        <w:rPr>
          <w:rFonts w:hint="eastAsia"/>
          <w:kern w:val="0"/>
          <w:sz w:val="24"/>
        </w:rPr>
        <w:t>米</w:t>
      </w:r>
    </w:p>
    <w:p w14:paraId="74B92CC0">
      <w:pPr>
        <w:spacing w:before="156" w:beforeLines="50"/>
        <w:ind w:left="360" w:hanging="360" w:hangingChars="150"/>
        <w:rPr>
          <w:color w:val="000000"/>
          <w:sz w:val="24"/>
        </w:rPr>
      </w:pPr>
      <w:r>
        <w:rPr>
          <w:color w:val="000000"/>
          <w:sz w:val="24"/>
        </w:rPr>
        <w:t>7</w:t>
      </w:r>
      <w:r>
        <w:rPr>
          <w:rFonts w:hint="eastAsia"/>
          <w:color w:val="000000"/>
          <w:sz w:val="24"/>
        </w:rPr>
        <w:t>、</w:t>
      </w:r>
      <w:r>
        <w:rPr>
          <w:color w:val="000000"/>
          <w:sz w:val="24"/>
        </w:rPr>
        <w:t xml:space="preserve">IEEE 802.3 </w:t>
      </w:r>
      <w:r>
        <w:rPr>
          <w:rFonts w:hint="eastAsia"/>
          <w:color w:val="000000"/>
          <w:sz w:val="24"/>
        </w:rPr>
        <w:t>标准规定的以太网的物理地址长度为（    ）</w:t>
      </w:r>
    </w:p>
    <w:p w14:paraId="7EF6AFD1">
      <w:pPr>
        <w:autoSpaceDE w:val="0"/>
        <w:autoSpaceDN w:val="0"/>
        <w:adjustRightInd w:val="0"/>
        <w:ind w:firstLine="480" w:firstLineChars="200"/>
        <w:rPr>
          <w:kern w:val="0"/>
          <w:sz w:val="24"/>
        </w:rPr>
      </w:pPr>
      <w:r>
        <w:rPr>
          <w:kern w:val="0"/>
          <w:sz w:val="24"/>
        </w:rPr>
        <w:t>A</w:t>
      </w:r>
      <w:r>
        <w:rPr>
          <w:rFonts w:hint="eastAsia"/>
          <w:kern w:val="0"/>
          <w:sz w:val="24"/>
        </w:rPr>
        <w:t>、</w:t>
      </w:r>
      <w:r>
        <w:rPr>
          <w:kern w:val="0"/>
          <w:sz w:val="24"/>
        </w:rPr>
        <w:t xml:space="preserve">8bit </w:t>
      </w:r>
      <w:r>
        <w:rPr>
          <w:rFonts w:hint="eastAsia"/>
          <w:kern w:val="0"/>
          <w:sz w:val="24"/>
        </w:rPr>
        <w:t xml:space="preserve">         </w:t>
      </w:r>
      <w:r>
        <w:rPr>
          <w:kern w:val="0"/>
          <w:sz w:val="24"/>
        </w:rPr>
        <w:t>B</w:t>
      </w:r>
      <w:r>
        <w:rPr>
          <w:rFonts w:hint="eastAsia"/>
          <w:kern w:val="0"/>
          <w:sz w:val="24"/>
        </w:rPr>
        <w:t>、</w:t>
      </w:r>
      <w:r>
        <w:rPr>
          <w:kern w:val="0"/>
          <w:sz w:val="24"/>
        </w:rPr>
        <w:t xml:space="preserve">32bit </w:t>
      </w:r>
      <w:r>
        <w:rPr>
          <w:rFonts w:hint="eastAsia"/>
          <w:kern w:val="0"/>
          <w:sz w:val="24"/>
        </w:rPr>
        <w:t xml:space="preserve">     </w:t>
      </w:r>
      <w:r>
        <w:rPr>
          <w:kern w:val="0"/>
          <w:sz w:val="24"/>
        </w:rPr>
        <w:t>C</w:t>
      </w:r>
      <w:r>
        <w:rPr>
          <w:rFonts w:hint="eastAsia"/>
          <w:kern w:val="0"/>
          <w:sz w:val="24"/>
        </w:rPr>
        <w:t>、</w:t>
      </w:r>
      <w:r>
        <w:rPr>
          <w:kern w:val="0"/>
          <w:sz w:val="24"/>
        </w:rPr>
        <w:t xml:space="preserve">48bit </w:t>
      </w:r>
      <w:r>
        <w:rPr>
          <w:rFonts w:hint="eastAsia"/>
          <w:kern w:val="0"/>
          <w:sz w:val="24"/>
        </w:rPr>
        <w:t xml:space="preserve">     </w:t>
      </w:r>
      <w:r>
        <w:rPr>
          <w:kern w:val="0"/>
          <w:sz w:val="24"/>
        </w:rPr>
        <w:t>D</w:t>
      </w:r>
      <w:r>
        <w:rPr>
          <w:rFonts w:hint="eastAsia"/>
          <w:kern w:val="0"/>
          <w:sz w:val="24"/>
        </w:rPr>
        <w:t>、</w:t>
      </w:r>
      <w:r>
        <w:rPr>
          <w:kern w:val="0"/>
          <w:sz w:val="24"/>
        </w:rPr>
        <w:t>64bit</w:t>
      </w:r>
    </w:p>
    <w:p w14:paraId="58C3DEAF">
      <w:pPr>
        <w:spacing w:before="156" w:beforeLines="50"/>
        <w:ind w:left="360" w:hanging="360" w:hangingChars="150"/>
        <w:rPr>
          <w:color w:val="000000"/>
          <w:sz w:val="24"/>
        </w:rPr>
      </w:pPr>
      <w:r>
        <w:rPr>
          <w:rFonts w:hint="eastAsia"/>
          <w:color w:val="000000"/>
          <w:sz w:val="24"/>
        </w:rPr>
        <w:t>8、以下哪个描述不符合PPP协议（    ）</w:t>
      </w:r>
    </w:p>
    <w:p w14:paraId="6D42BFDB">
      <w:pPr>
        <w:autoSpaceDE w:val="0"/>
        <w:autoSpaceDN w:val="0"/>
        <w:adjustRightInd w:val="0"/>
        <w:ind w:firstLine="480" w:firstLineChars="200"/>
        <w:rPr>
          <w:kern w:val="0"/>
          <w:sz w:val="24"/>
        </w:rPr>
      </w:pPr>
      <w:r>
        <w:rPr>
          <w:rFonts w:hint="eastAsia"/>
          <w:kern w:val="0"/>
          <w:sz w:val="24"/>
        </w:rPr>
        <w:t>A、是一种可靠的链路层传输协议    B、支持协商网络层地址</w:t>
      </w:r>
    </w:p>
    <w:p w14:paraId="34C71E0F">
      <w:pPr>
        <w:autoSpaceDE w:val="0"/>
        <w:autoSpaceDN w:val="0"/>
        <w:adjustRightInd w:val="0"/>
        <w:ind w:firstLine="480" w:firstLineChars="200"/>
        <w:rPr>
          <w:kern w:val="0"/>
          <w:sz w:val="24"/>
        </w:rPr>
      </w:pPr>
      <w:r>
        <w:rPr>
          <w:rFonts w:hint="eastAsia"/>
          <w:kern w:val="0"/>
          <w:sz w:val="24"/>
        </w:rPr>
        <w:t>C、支持多种类型链路              D、支持多种网络层协议</w:t>
      </w:r>
    </w:p>
    <w:p w14:paraId="55D8F5B2">
      <w:pPr>
        <w:spacing w:before="156" w:beforeLines="50"/>
        <w:ind w:left="360" w:hanging="360" w:hangingChars="150"/>
        <w:rPr>
          <w:color w:val="000000"/>
          <w:sz w:val="24"/>
        </w:rPr>
      </w:pPr>
      <w:r>
        <w:rPr>
          <w:rFonts w:hint="eastAsia"/>
          <w:color w:val="000000"/>
          <w:sz w:val="24"/>
        </w:rPr>
        <w:t>9、以下不是数据链路层协议需要解决的基本问题的是（    ）</w:t>
      </w:r>
    </w:p>
    <w:p w14:paraId="7F569C1B">
      <w:pPr>
        <w:autoSpaceDE w:val="0"/>
        <w:autoSpaceDN w:val="0"/>
        <w:adjustRightInd w:val="0"/>
        <w:ind w:firstLine="480" w:firstLineChars="200"/>
        <w:rPr>
          <w:kern w:val="0"/>
          <w:sz w:val="24"/>
        </w:rPr>
      </w:pPr>
      <w:r>
        <w:rPr>
          <w:rFonts w:hint="eastAsia"/>
          <w:kern w:val="0"/>
          <w:sz w:val="24"/>
        </w:rPr>
        <w:t>A、封装成帧    B、透明传输    C、差错检测     D、流量控制</w:t>
      </w:r>
    </w:p>
    <w:p w14:paraId="38AFADF9">
      <w:pPr>
        <w:spacing w:before="156" w:beforeLines="50"/>
        <w:ind w:left="360" w:hanging="360" w:hangingChars="150"/>
        <w:rPr>
          <w:color w:val="000000"/>
          <w:sz w:val="24"/>
        </w:rPr>
      </w:pPr>
      <w:r>
        <w:rPr>
          <w:rFonts w:hint="eastAsia"/>
          <w:color w:val="000000"/>
          <w:sz w:val="24"/>
        </w:rPr>
        <w:t>10、下列各种说法，属于</w:t>
      </w:r>
      <w:r>
        <w:rPr>
          <w:color w:val="000000"/>
          <w:sz w:val="24"/>
        </w:rPr>
        <w:t>CSMA</w:t>
      </w:r>
      <w:r>
        <w:rPr>
          <w:rFonts w:hint="eastAsia"/>
          <w:color w:val="000000"/>
          <w:sz w:val="24"/>
        </w:rPr>
        <w:t>/CD算法优点的是（    ）</w:t>
      </w:r>
    </w:p>
    <w:p w14:paraId="46B1EE2B">
      <w:pPr>
        <w:autoSpaceDE w:val="0"/>
        <w:autoSpaceDN w:val="0"/>
        <w:adjustRightInd w:val="0"/>
        <w:ind w:firstLine="480" w:firstLineChars="200"/>
        <w:rPr>
          <w:kern w:val="0"/>
          <w:sz w:val="24"/>
        </w:rPr>
      </w:pPr>
      <w:r>
        <w:rPr>
          <w:kern w:val="0"/>
          <w:sz w:val="24"/>
        </w:rPr>
        <w:t>A</w:t>
      </w:r>
      <w:r>
        <w:rPr>
          <w:rFonts w:hint="eastAsia"/>
          <w:kern w:val="0"/>
          <w:sz w:val="24"/>
        </w:rPr>
        <w:t xml:space="preserve">、可以减少冲突的概率                   </w:t>
      </w:r>
      <w:r>
        <w:rPr>
          <w:kern w:val="0"/>
          <w:sz w:val="24"/>
        </w:rPr>
        <w:t>B</w:t>
      </w:r>
      <w:r>
        <w:rPr>
          <w:rFonts w:hint="eastAsia"/>
          <w:kern w:val="0"/>
          <w:sz w:val="24"/>
        </w:rPr>
        <w:t>、可以减少信道空闲时间</w:t>
      </w:r>
    </w:p>
    <w:p w14:paraId="330AB0C1">
      <w:pPr>
        <w:autoSpaceDE w:val="0"/>
        <w:autoSpaceDN w:val="0"/>
        <w:adjustRightInd w:val="0"/>
        <w:ind w:firstLine="480" w:firstLineChars="200"/>
        <w:rPr>
          <w:kern w:val="0"/>
          <w:sz w:val="24"/>
        </w:rPr>
      </w:pPr>
      <w:r>
        <w:rPr>
          <w:kern w:val="0"/>
          <w:sz w:val="24"/>
        </w:rPr>
        <w:t>C</w:t>
      </w:r>
      <w:r>
        <w:rPr>
          <w:rFonts w:hint="eastAsia"/>
          <w:kern w:val="0"/>
          <w:sz w:val="24"/>
        </w:rPr>
        <w:t xml:space="preserve">、可以减少冲突并且减少信道空闲时间     </w:t>
      </w:r>
      <w:r>
        <w:rPr>
          <w:kern w:val="0"/>
          <w:sz w:val="24"/>
        </w:rPr>
        <w:t>D</w:t>
      </w:r>
      <w:r>
        <w:rPr>
          <w:rFonts w:hint="eastAsia"/>
          <w:kern w:val="0"/>
          <w:sz w:val="24"/>
        </w:rPr>
        <w:t>、可以完全避免冲突</w:t>
      </w:r>
    </w:p>
    <w:p w14:paraId="3C2B9A61">
      <w:pPr>
        <w:spacing w:before="156" w:beforeLines="50"/>
        <w:ind w:left="360" w:hanging="360" w:hangingChars="150"/>
        <w:rPr>
          <w:color w:val="000000"/>
          <w:sz w:val="24"/>
        </w:rPr>
      </w:pPr>
      <w:r>
        <w:rPr>
          <w:rFonts w:hint="eastAsia"/>
          <w:color w:val="000000"/>
          <w:sz w:val="24"/>
        </w:rPr>
        <w:t>11、工作在OSI参考模型的第三层数据链路层上的网络互联设备是（    ）</w:t>
      </w:r>
    </w:p>
    <w:p w14:paraId="6FCE52E7">
      <w:pPr>
        <w:autoSpaceDE w:val="0"/>
        <w:autoSpaceDN w:val="0"/>
        <w:adjustRightInd w:val="0"/>
        <w:ind w:firstLine="480" w:firstLineChars="200"/>
        <w:rPr>
          <w:kern w:val="0"/>
          <w:sz w:val="24"/>
        </w:rPr>
      </w:pPr>
      <w:r>
        <w:rPr>
          <w:rFonts w:hint="eastAsia"/>
          <w:kern w:val="0"/>
          <w:sz w:val="24"/>
        </w:rPr>
        <w:t>A、网桥       B、路由器       C、中继器        D、网关</w:t>
      </w:r>
    </w:p>
    <w:p w14:paraId="594F55B0">
      <w:pPr>
        <w:spacing w:before="156" w:beforeLines="50"/>
        <w:ind w:left="360" w:hanging="360" w:hangingChars="150"/>
        <w:rPr>
          <w:color w:val="000000"/>
          <w:sz w:val="24"/>
        </w:rPr>
      </w:pPr>
      <w:r>
        <w:rPr>
          <w:rFonts w:hint="eastAsia"/>
          <w:color w:val="000000"/>
          <w:sz w:val="24"/>
        </w:rPr>
        <w:t>12、ARP是实现（   ）</w:t>
      </w:r>
    </w:p>
    <w:p w14:paraId="53971ED2">
      <w:pPr>
        <w:autoSpaceDE w:val="0"/>
        <w:autoSpaceDN w:val="0"/>
        <w:adjustRightInd w:val="0"/>
        <w:ind w:firstLine="480" w:firstLineChars="200"/>
        <w:rPr>
          <w:kern w:val="0"/>
          <w:sz w:val="24"/>
        </w:rPr>
      </w:pPr>
      <w:r>
        <w:rPr>
          <w:rFonts w:hint="eastAsia"/>
          <w:kern w:val="0"/>
          <w:sz w:val="24"/>
        </w:rPr>
        <w:t>A、由MAC地址到IP地址的转换　　 B、由IP地址到MAC地址的转换</w:t>
      </w:r>
    </w:p>
    <w:p w14:paraId="67864EFB">
      <w:pPr>
        <w:autoSpaceDE w:val="0"/>
        <w:autoSpaceDN w:val="0"/>
        <w:adjustRightInd w:val="0"/>
        <w:ind w:firstLine="480" w:firstLineChars="200"/>
        <w:rPr>
          <w:kern w:val="0"/>
          <w:sz w:val="24"/>
        </w:rPr>
      </w:pPr>
      <w:r>
        <w:rPr>
          <w:rFonts w:hint="eastAsia"/>
          <w:kern w:val="0"/>
          <w:sz w:val="24"/>
        </w:rPr>
        <w:t>C、由域名到IP地址的转换         D、由IP地址到域名的转换</w:t>
      </w:r>
    </w:p>
    <w:p w14:paraId="2690D438">
      <w:pPr>
        <w:spacing w:before="156" w:beforeLines="50"/>
        <w:ind w:left="360" w:hanging="360" w:hangingChars="150"/>
        <w:rPr>
          <w:color w:val="000000"/>
          <w:sz w:val="24"/>
        </w:rPr>
      </w:pPr>
      <w:r>
        <w:rPr>
          <w:rFonts w:hint="eastAsia"/>
          <w:color w:val="000000"/>
          <w:sz w:val="24"/>
        </w:rPr>
        <w:t>13、RIP中一条路由的花费如果等于（    ），则意味着它是不可达。</w:t>
      </w:r>
    </w:p>
    <w:p w14:paraId="1D2A2470">
      <w:pPr>
        <w:autoSpaceDE w:val="0"/>
        <w:autoSpaceDN w:val="0"/>
        <w:adjustRightInd w:val="0"/>
        <w:ind w:firstLine="480" w:firstLineChars="200"/>
        <w:rPr>
          <w:kern w:val="0"/>
          <w:sz w:val="24"/>
        </w:rPr>
      </w:pPr>
      <w:r>
        <w:rPr>
          <w:rFonts w:hint="eastAsia"/>
          <w:kern w:val="0"/>
          <w:sz w:val="24"/>
        </w:rPr>
        <w:t>A、8        B、9         C、15         D、16</w:t>
      </w:r>
    </w:p>
    <w:p w14:paraId="74C4AA16">
      <w:pPr>
        <w:spacing w:before="156" w:beforeLines="50"/>
        <w:ind w:left="360" w:hanging="360" w:hangingChars="150"/>
        <w:rPr>
          <w:color w:val="000000"/>
          <w:sz w:val="24"/>
        </w:rPr>
      </w:pPr>
      <w:r>
        <w:rPr>
          <w:rFonts w:hint="eastAsia"/>
          <w:color w:val="000000"/>
          <w:sz w:val="24"/>
        </w:rPr>
        <w:t>14、基于TCP/IP的互联网服务中，IP协议提供主机之间（    ）分组传输服务。</w:t>
      </w:r>
    </w:p>
    <w:p w14:paraId="37BE002F">
      <w:pPr>
        <w:autoSpaceDE w:val="0"/>
        <w:autoSpaceDN w:val="0"/>
        <w:adjustRightInd w:val="0"/>
        <w:ind w:firstLine="480" w:firstLineChars="200"/>
        <w:rPr>
          <w:kern w:val="0"/>
          <w:sz w:val="24"/>
        </w:rPr>
      </w:pPr>
      <w:r>
        <w:rPr>
          <w:rFonts w:hint="eastAsia"/>
          <w:kern w:val="0"/>
          <w:sz w:val="24"/>
        </w:rPr>
        <w:t>A、可靠的面向连接的            B、不可靠的面向连接的</w:t>
      </w:r>
    </w:p>
    <w:p w14:paraId="0F19DE06">
      <w:pPr>
        <w:autoSpaceDE w:val="0"/>
        <w:autoSpaceDN w:val="0"/>
        <w:adjustRightInd w:val="0"/>
        <w:ind w:firstLine="480" w:firstLineChars="200"/>
        <w:rPr>
          <w:kern w:val="0"/>
          <w:sz w:val="24"/>
        </w:rPr>
      </w:pPr>
      <w:r>
        <w:rPr>
          <w:rFonts w:hint="eastAsia"/>
          <w:kern w:val="0"/>
          <w:sz w:val="24"/>
        </w:rPr>
        <w:t>C、可靠的无连接的              D、不可靠的无连接的</w:t>
      </w:r>
    </w:p>
    <w:p w14:paraId="6E674293">
      <w:pPr>
        <w:spacing w:before="156" w:beforeLines="50"/>
        <w:ind w:left="360" w:hanging="360" w:hangingChars="150"/>
        <w:rPr>
          <w:color w:val="000000"/>
          <w:sz w:val="24"/>
        </w:rPr>
      </w:pPr>
      <w:r>
        <w:rPr>
          <w:rFonts w:hint="eastAsia"/>
          <w:color w:val="000000"/>
          <w:sz w:val="24"/>
        </w:rPr>
        <w:t>15、在基于TCP/IP模型的分组交换网络中，每个分组都可能走不同的路径，所以在分组到达目的主机后应重新排序；又由于不同类型物理网络的MTU不同，所以一个分组在传输过程中也可能需要分段，这些分段在到达目的主机后也必须重组。下列哪个说法是正确的。（    ）</w:t>
      </w:r>
    </w:p>
    <w:p w14:paraId="0A71FCAA">
      <w:pPr>
        <w:autoSpaceDE w:val="0"/>
        <w:autoSpaceDN w:val="0"/>
        <w:adjustRightInd w:val="0"/>
        <w:ind w:firstLine="480" w:firstLineChars="200"/>
        <w:rPr>
          <w:kern w:val="0"/>
          <w:sz w:val="24"/>
        </w:rPr>
      </w:pPr>
      <w:r>
        <w:rPr>
          <w:rFonts w:hint="eastAsia"/>
          <w:kern w:val="0"/>
          <w:sz w:val="24"/>
        </w:rPr>
        <w:t>A、排序和重组工作都是由网络层完成</w:t>
      </w:r>
    </w:p>
    <w:p w14:paraId="51F6B197">
      <w:pPr>
        <w:autoSpaceDE w:val="0"/>
        <w:autoSpaceDN w:val="0"/>
        <w:adjustRightInd w:val="0"/>
        <w:ind w:firstLine="480" w:firstLineChars="200"/>
        <w:rPr>
          <w:kern w:val="0"/>
          <w:sz w:val="24"/>
        </w:rPr>
      </w:pPr>
      <w:r>
        <w:rPr>
          <w:rFonts w:hint="eastAsia"/>
          <w:kern w:val="0"/>
          <w:sz w:val="24"/>
        </w:rPr>
        <w:t>B、排序和重组工作都是由传输层完成</w:t>
      </w:r>
    </w:p>
    <w:p w14:paraId="0007D1AA">
      <w:pPr>
        <w:autoSpaceDE w:val="0"/>
        <w:autoSpaceDN w:val="0"/>
        <w:adjustRightInd w:val="0"/>
        <w:ind w:firstLine="480" w:firstLineChars="200"/>
        <w:rPr>
          <w:kern w:val="0"/>
          <w:sz w:val="24"/>
        </w:rPr>
      </w:pPr>
      <w:r>
        <w:rPr>
          <w:rFonts w:hint="eastAsia"/>
          <w:kern w:val="0"/>
          <w:sz w:val="24"/>
        </w:rPr>
        <w:t>C、排序工作由网络层完成，而重组工作由传输层完成</w:t>
      </w:r>
    </w:p>
    <w:p w14:paraId="47031823">
      <w:pPr>
        <w:autoSpaceDE w:val="0"/>
        <w:autoSpaceDN w:val="0"/>
        <w:adjustRightInd w:val="0"/>
        <w:ind w:firstLine="480" w:firstLineChars="200"/>
        <w:rPr>
          <w:kern w:val="0"/>
          <w:sz w:val="24"/>
        </w:rPr>
      </w:pPr>
      <w:r>
        <w:rPr>
          <w:rFonts w:hint="eastAsia"/>
          <w:kern w:val="0"/>
          <w:sz w:val="24"/>
        </w:rPr>
        <w:t>D、重组工作由网络层完成，而排序工作由传输层完成</w:t>
      </w:r>
    </w:p>
    <w:p w14:paraId="5CC1C517">
      <w:pPr>
        <w:spacing w:before="312" w:beforeLines="100" w:after="156" w:afterLines="50"/>
        <w:rPr>
          <w:b/>
          <w:bCs/>
          <w:sz w:val="24"/>
        </w:rPr>
      </w:pPr>
      <w:r>
        <w:rPr>
          <w:rFonts w:hint="eastAsia"/>
          <w:b/>
          <w:bCs/>
          <w:sz w:val="24"/>
        </w:rPr>
        <w:t>二、填空题（本大题共14小题，每空1分，共25分）</w:t>
      </w:r>
    </w:p>
    <w:p w14:paraId="10B2EAAF">
      <w:pPr>
        <w:autoSpaceDE w:val="0"/>
        <w:autoSpaceDN w:val="0"/>
        <w:adjustRightInd w:val="0"/>
        <w:spacing w:before="156" w:beforeLines="50"/>
        <w:ind w:left="360" w:hanging="360" w:hangingChars="150"/>
        <w:jc w:val="left"/>
        <w:rPr>
          <w:rFonts w:cs="宋体"/>
          <w:kern w:val="0"/>
          <w:sz w:val="24"/>
        </w:rPr>
      </w:pPr>
      <w:r>
        <w:rPr>
          <w:rFonts w:hint="eastAsia" w:cs="宋体"/>
          <w:kern w:val="0"/>
          <w:sz w:val="24"/>
        </w:rPr>
        <w:t>1、网络协议主要有________、语义和________三个要素组成。</w:t>
      </w:r>
    </w:p>
    <w:p w14:paraId="3AE2018F">
      <w:pPr>
        <w:autoSpaceDE w:val="0"/>
        <w:autoSpaceDN w:val="0"/>
        <w:adjustRightInd w:val="0"/>
        <w:spacing w:before="156" w:beforeLines="50"/>
        <w:ind w:left="360" w:hanging="360" w:hangingChars="150"/>
        <w:jc w:val="left"/>
        <w:rPr>
          <w:rFonts w:cs="宋体"/>
          <w:kern w:val="0"/>
          <w:sz w:val="24"/>
        </w:rPr>
      </w:pPr>
      <w:r>
        <w:rPr>
          <w:rFonts w:hint="eastAsia" w:cs="宋体"/>
          <w:kern w:val="0"/>
          <w:sz w:val="24"/>
        </w:rPr>
        <w:t>2、已知某地址块中有一个地址为128.14.89.26/20，则该地址块的最大有效地址是__________________，最小有效地址是__________________，地址掩码为______________________。</w:t>
      </w:r>
    </w:p>
    <w:p w14:paraId="0B629774">
      <w:pPr>
        <w:autoSpaceDE w:val="0"/>
        <w:autoSpaceDN w:val="0"/>
        <w:adjustRightInd w:val="0"/>
        <w:spacing w:before="156" w:beforeLines="50"/>
        <w:ind w:left="360" w:hanging="360" w:hangingChars="150"/>
        <w:jc w:val="left"/>
        <w:rPr>
          <w:rFonts w:cs="宋体"/>
          <w:kern w:val="0"/>
          <w:sz w:val="24"/>
        </w:rPr>
      </w:pPr>
      <w:r>
        <w:rPr>
          <w:rFonts w:hint="eastAsia" w:cs="宋体"/>
          <w:kern w:val="0"/>
          <w:sz w:val="24"/>
        </w:rPr>
        <w:t>3、我国的ADSL方案采用的信号调制技术为____________。</w:t>
      </w:r>
    </w:p>
    <w:p w14:paraId="60590213">
      <w:pPr>
        <w:spacing w:before="156" w:beforeLines="50"/>
        <w:ind w:left="360" w:hanging="360" w:hangingChars="150"/>
        <w:rPr>
          <w:sz w:val="24"/>
        </w:rPr>
      </w:pPr>
      <w:r>
        <w:rPr>
          <w:rFonts w:hint="eastAsia"/>
          <w:sz w:val="24"/>
        </w:rPr>
        <w:t>4、在一个传统以太网中，主机甲和主机乙之间的距离为2km，假定信号传播速度是200，000 km/s。若主机甲和主机乙发送数据时发生冲突，则从开始发送数据时刻起，到两台主机均检测到冲突时刻止，最长需经过_________秒。</w:t>
      </w:r>
    </w:p>
    <w:p w14:paraId="51B170F0">
      <w:pPr>
        <w:spacing w:before="156" w:beforeLines="50"/>
        <w:ind w:left="360" w:hanging="360" w:hangingChars="150"/>
        <w:rPr>
          <w:sz w:val="24"/>
        </w:rPr>
      </w:pPr>
      <w:r>
        <w:rPr>
          <w:rFonts w:hint="eastAsia"/>
          <w:sz w:val="24"/>
        </w:rPr>
        <w:t>5、以太网采用二进制指数退避算法来减少对信道的争用冲突，第n次冲突后选择1到L个时间片中的一个随机数来推迟发送，L为_________。</w:t>
      </w:r>
    </w:p>
    <w:p w14:paraId="1F467F75">
      <w:pPr>
        <w:spacing w:before="156" w:beforeLines="50"/>
        <w:ind w:left="360" w:hanging="360" w:hangingChars="150"/>
        <w:rPr>
          <w:sz w:val="24"/>
        </w:rPr>
      </w:pPr>
      <w:r>
        <w:rPr>
          <w:rFonts w:hint="eastAsia" w:cs="宋体"/>
          <w:kern w:val="0"/>
          <w:sz w:val="24"/>
        </w:rPr>
        <w:t>6、____________复用技术可以提高单根光纤的传输速率</w:t>
      </w:r>
    </w:p>
    <w:p w14:paraId="6E945DEE">
      <w:pPr>
        <w:autoSpaceDE w:val="0"/>
        <w:autoSpaceDN w:val="0"/>
        <w:adjustRightInd w:val="0"/>
        <w:spacing w:before="156" w:beforeLines="50"/>
        <w:ind w:left="360" w:hanging="360" w:hangingChars="150"/>
        <w:jc w:val="left"/>
        <w:rPr>
          <w:rFonts w:cs="宋体"/>
          <w:kern w:val="0"/>
          <w:sz w:val="24"/>
        </w:rPr>
      </w:pPr>
      <w:r>
        <w:rPr>
          <w:rFonts w:hint="eastAsia" w:cs="宋体"/>
          <w:kern w:val="0"/>
          <w:sz w:val="24"/>
        </w:rPr>
        <w:t>7、因特网把路由协议分为两大类，即_________________和________________。</w:t>
      </w:r>
    </w:p>
    <w:p w14:paraId="4CE456AA">
      <w:pPr>
        <w:autoSpaceDE w:val="0"/>
        <w:autoSpaceDN w:val="0"/>
        <w:adjustRightInd w:val="0"/>
        <w:spacing w:before="156" w:beforeLines="50"/>
        <w:ind w:left="360" w:hanging="360" w:hangingChars="150"/>
        <w:jc w:val="left"/>
        <w:rPr>
          <w:kern w:val="0"/>
          <w:sz w:val="24"/>
        </w:rPr>
      </w:pPr>
      <w:r>
        <w:rPr>
          <w:rFonts w:hint="eastAsia"/>
          <w:kern w:val="0"/>
          <w:sz w:val="24"/>
        </w:rPr>
        <w:t>8、熟知端口号的范围为__________________。</w:t>
      </w:r>
    </w:p>
    <w:p w14:paraId="6EDDA47A">
      <w:pPr>
        <w:autoSpaceDE w:val="0"/>
        <w:autoSpaceDN w:val="0"/>
        <w:adjustRightInd w:val="0"/>
        <w:spacing w:before="156" w:beforeLines="50"/>
        <w:ind w:left="360" w:hanging="360" w:hangingChars="150"/>
        <w:jc w:val="left"/>
        <w:rPr>
          <w:kern w:val="0"/>
          <w:sz w:val="24"/>
        </w:rPr>
      </w:pPr>
      <w:r>
        <w:rPr>
          <w:rFonts w:hint="eastAsia"/>
          <w:kern w:val="0"/>
          <w:sz w:val="24"/>
        </w:rPr>
        <w:t>9、假定TCP的ssthresh的初始值为16，如果当拥塞窗口上升到24时网络发生超时，TCP执行慢开始和拥塞避免算法，则此时的拥塞窗口为______；ssthresh值为_______；如果当拥塞窗口上升到24时收到3个重复的确认，并且TCP执行快重传和快恢复算法，则此时的拥塞窗口为_______；ssthresh值为________。</w:t>
      </w:r>
    </w:p>
    <w:p w14:paraId="47FBCBAA">
      <w:pPr>
        <w:autoSpaceDE w:val="0"/>
        <w:autoSpaceDN w:val="0"/>
        <w:adjustRightInd w:val="0"/>
        <w:spacing w:before="156" w:beforeLines="50"/>
        <w:ind w:left="360" w:hanging="360" w:hangingChars="150"/>
        <w:jc w:val="left"/>
        <w:rPr>
          <w:kern w:val="0"/>
          <w:sz w:val="24"/>
        </w:rPr>
      </w:pPr>
      <w:r>
        <w:rPr>
          <w:rFonts w:hint="eastAsia"/>
          <w:kern w:val="0"/>
          <w:sz w:val="24"/>
        </w:rPr>
        <w:t>10、在网络边缘的端系统中运行的程序之间的通信方式通常可划分为两大类：对等连接方式和_________________。</w:t>
      </w:r>
    </w:p>
    <w:p w14:paraId="21C10F9A">
      <w:pPr>
        <w:autoSpaceDE w:val="0"/>
        <w:autoSpaceDN w:val="0"/>
        <w:adjustRightInd w:val="0"/>
        <w:spacing w:before="156" w:beforeLines="50"/>
        <w:ind w:left="360" w:hanging="360" w:hangingChars="150"/>
        <w:jc w:val="left"/>
        <w:rPr>
          <w:kern w:val="0"/>
          <w:sz w:val="24"/>
        </w:rPr>
      </w:pPr>
      <w:r>
        <w:rPr>
          <w:rFonts w:hint="eastAsia"/>
          <w:kern w:val="0"/>
          <w:sz w:val="24"/>
        </w:rPr>
        <w:t>11、假定主机A向主机B连续发送两个TCP报文段，其序号分别为70和100，则第一个报文携带了_______字节的数据，主机B收到第一个报文段后发出确认，其确认号为________，如果B收到第二个报文段，但第一个报文段丢失，则B发送的确认号为__________。</w:t>
      </w:r>
    </w:p>
    <w:p w14:paraId="06804E6E">
      <w:pPr>
        <w:autoSpaceDE w:val="0"/>
        <w:autoSpaceDN w:val="0"/>
        <w:adjustRightInd w:val="0"/>
        <w:spacing w:before="156" w:beforeLines="50"/>
        <w:ind w:left="360" w:hanging="360" w:hangingChars="150"/>
        <w:jc w:val="left"/>
        <w:rPr>
          <w:kern w:val="0"/>
          <w:sz w:val="24"/>
        </w:rPr>
      </w:pPr>
      <w:r>
        <w:rPr>
          <w:rFonts w:hint="eastAsia"/>
          <w:kern w:val="0"/>
          <w:sz w:val="24"/>
        </w:rPr>
        <w:t>12、顶级域名包括三类：______________、_____________和__________。</w:t>
      </w:r>
    </w:p>
    <w:p w14:paraId="034D9061">
      <w:pPr>
        <w:autoSpaceDE w:val="0"/>
        <w:autoSpaceDN w:val="0"/>
        <w:adjustRightInd w:val="0"/>
        <w:spacing w:before="156" w:beforeLines="50"/>
        <w:ind w:left="360" w:hanging="360" w:hangingChars="150"/>
        <w:jc w:val="left"/>
        <w:rPr>
          <w:kern w:val="0"/>
          <w:sz w:val="24"/>
        </w:rPr>
      </w:pPr>
      <w:r>
        <w:rPr>
          <w:rFonts w:hint="eastAsia"/>
          <w:kern w:val="0"/>
          <w:sz w:val="24"/>
        </w:rPr>
        <w:t>13、指向网站www.abc</w:t>
      </w:r>
      <w:r>
        <w:rPr>
          <w:kern w:val="0"/>
          <w:sz w:val="24"/>
        </w:rPr>
        <w:t>.</w:t>
      </w:r>
      <w:r>
        <w:rPr>
          <w:rFonts w:hint="eastAsia"/>
          <w:kern w:val="0"/>
          <w:sz w:val="24"/>
        </w:rPr>
        <w:t>com的网页index.htm的完整URL为______________________。</w:t>
      </w:r>
    </w:p>
    <w:p w14:paraId="51A8987A">
      <w:pPr>
        <w:autoSpaceDE w:val="0"/>
        <w:autoSpaceDN w:val="0"/>
        <w:adjustRightInd w:val="0"/>
        <w:spacing w:before="156" w:beforeLines="50"/>
        <w:ind w:left="360" w:hanging="360" w:hangingChars="150"/>
        <w:jc w:val="left"/>
        <w:rPr>
          <w:kern w:val="0"/>
          <w:sz w:val="24"/>
        </w:rPr>
      </w:pPr>
      <w:r>
        <w:rPr>
          <w:rFonts w:hint="eastAsia"/>
          <w:kern w:val="0"/>
          <w:sz w:val="24"/>
        </w:rPr>
        <w:t>14、Web搜索大致可以分为两类：分类目录检索和___________________。</w:t>
      </w:r>
    </w:p>
    <w:p w14:paraId="4BEE65DA">
      <w:pPr>
        <w:spacing w:before="312" w:beforeLines="100" w:after="156" w:afterLines="50"/>
        <w:rPr>
          <w:b/>
          <w:bCs/>
          <w:sz w:val="24"/>
        </w:rPr>
      </w:pPr>
      <w:r>
        <w:rPr>
          <w:rFonts w:hint="eastAsia"/>
          <w:b/>
          <w:bCs/>
          <w:sz w:val="24"/>
        </w:rPr>
        <w:t>三、名词解释（本大题共5小题，每题4分，共20分）</w:t>
      </w:r>
    </w:p>
    <w:p w14:paraId="13C62B66">
      <w:pPr>
        <w:ind w:firstLine="236" w:firstLineChars="98"/>
        <w:rPr>
          <w:b/>
          <w:bCs/>
          <w:sz w:val="24"/>
        </w:rPr>
      </w:pPr>
      <w:r>
        <w:rPr>
          <w:rFonts w:hint="eastAsia"/>
          <w:b/>
          <w:sz w:val="24"/>
        </w:rPr>
        <w:t>（包括说明英文简写含义和说明协议的作用）</w:t>
      </w:r>
    </w:p>
    <w:p w14:paraId="347B9B4F">
      <w:pPr>
        <w:spacing w:before="156" w:beforeLines="50"/>
        <w:rPr>
          <w:sz w:val="24"/>
        </w:rPr>
      </w:pPr>
      <w:r>
        <w:rPr>
          <w:rFonts w:hint="eastAsia"/>
          <w:sz w:val="24"/>
        </w:rPr>
        <w:t>1、WWW：</w:t>
      </w:r>
    </w:p>
    <w:p w14:paraId="0501E278">
      <w:pPr>
        <w:spacing w:before="156" w:beforeLines="50"/>
        <w:rPr>
          <w:sz w:val="24"/>
        </w:rPr>
      </w:pPr>
      <w:r>
        <w:rPr>
          <w:rFonts w:hint="eastAsia"/>
          <w:sz w:val="24"/>
        </w:rPr>
        <w:t>2、DHCP：</w:t>
      </w:r>
    </w:p>
    <w:p w14:paraId="3459D4FC">
      <w:pPr>
        <w:spacing w:before="156" w:beforeLines="50"/>
        <w:rPr>
          <w:sz w:val="24"/>
        </w:rPr>
      </w:pPr>
      <w:r>
        <w:rPr>
          <w:rFonts w:hint="eastAsia"/>
          <w:sz w:val="24"/>
        </w:rPr>
        <w:t>3、CSMA/CD：</w:t>
      </w:r>
    </w:p>
    <w:p w14:paraId="754C94A5">
      <w:pPr>
        <w:spacing w:before="156" w:beforeLines="50"/>
        <w:rPr>
          <w:sz w:val="24"/>
        </w:rPr>
      </w:pPr>
      <w:r>
        <w:rPr>
          <w:rFonts w:hint="eastAsia"/>
          <w:sz w:val="24"/>
        </w:rPr>
        <w:t>4、ICMP：</w:t>
      </w:r>
    </w:p>
    <w:p w14:paraId="15EF7AA0">
      <w:pPr>
        <w:spacing w:before="156" w:beforeLines="50"/>
        <w:rPr>
          <w:rFonts w:cs="宋体"/>
          <w:b/>
          <w:bCs/>
          <w:kern w:val="0"/>
          <w:sz w:val="24"/>
        </w:rPr>
      </w:pPr>
      <w:r>
        <w:rPr>
          <w:rFonts w:hint="eastAsia"/>
          <w:color w:val="000000"/>
          <w:sz w:val="24"/>
        </w:rPr>
        <w:t>5、DNS：</w:t>
      </w:r>
    </w:p>
    <w:p w14:paraId="1F400932">
      <w:pPr>
        <w:spacing w:before="312" w:beforeLines="100" w:after="156" w:afterLines="50"/>
        <w:rPr>
          <w:b/>
          <w:bCs/>
          <w:sz w:val="24"/>
        </w:rPr>
      </w:pPr>
      <w:r>
        <w:rPr>
          <w:rFonts w:hint="eastAsia"/>
          <w:b/>
          <w:bCs/>
          <w:sz w:val="24"/>
        </w:rPr>
        <w:t>四、计算与简答题（本大题共5小题，每小题5分，共25分）</w:t>
      </w:r>
    </w:p>
    <w:p w14:paraId="76AD780F">
      <w:pPr>
        <w:autoSpaceDE w:val="0"/>
        <w:autoSpaceDN w:val="0"/>
        <w:adjustRightInd w:val="0"/>
        <w:spacing w:before="156" w:beforeLines="50"/>
        <w:ind w:left="360" w:hanging="360" w:hangingChars="150"/>
        <w:jc w:val="left"/>
        <w:rPr>
          <w:kern w:val="0"/>
          <w:sz w:val="24"/>
        </w:rPr>
      </w:pPr>
      <w:r>
        <w:rPr>
          <w:rFonts w:hint="eastAsia"/>
          <w:kern w:val="0"/>
          <w:sz w:val="24"/>
        </w:rPr>
        <w:t>1、假定某一TCP连接中，发送方当前的超时重传时间RTO=6秒，则当发送方收到对方的确认报文，测量出的RTT样本为1.5秒。试计算现在的RTO。</w:t>
      </w:r>
    </w:p>
    <w:p w14:paraId="77E3E0CA">
      <w:pPr>
        <w:autoSpaceDE w:val="0"/>
        <w:autoSpaceDN w:val="0"/>
        <w:adjustRightInd w:val="0"/>
        <w:spacing w:before="156" w:beforeLines="50"/>
        <w:ind w:left="360" w:hanging="360" w:hangingChars="150"/>
        <w:jc w:val="left"/>
        <w:rPr>
          <w:sz w:val="24"/>
        </w:rPr>
      </w:pPr>
      <w:r>
        <w:rPr>
          <w:rFonts w:hint="eastAsia"/>
          <w:sz w:val="24"/>
        </w:rPr>
        <w:t>2、在Internet网中，某计算机的IP地址是 202.96.44.88，请回答下列问题：</w:t>
      </w:r>
    </w:p>
    <w:p w14:paraId="7C33A3A2">
      <w:pPr>
        <w:autoSpaceDE w:val="0"/>
        <w:autoSpaceDN w:val="0"/>
        <w:adjustRightInd w:val="0"/>
        <w:ind w:left="480" w:hanging="480" w:hangingChars="200"/>
        <w:jc w:val="left"/>
        <w:rPr>
          <w:sz w:val="24"/>
        </w:rPr>
      </w:pPr>
      <w:r>
        <w:rPr>
          <w:rFonts w:hint="eastAsia"/>
          <w:sz w:val="24"/>
        </w:rPr>
        <w:t>（1）按传统的分类IP编址方案中，该IP地址是属于A类、B类还是C类地址？</w:t>
      </w:r>
    </w:p>
    <w:p w14:paraId="64198099">
      <w:pPr>
        <w:autoSpaceDE w:val="0"/>
        <w:autoSpaceDN w:val="0"/>
        <w:adjustRightInd w:val="0"/>
        <w:ind w:left="480" w:hanging="480" w:hangingChars="200"/>
        <w:jc w:val="left"/>
        <w:rPr>
          <w:sz w:val="24"/>
        </w:rPr>
      </w:pPr>
      <w:r>
        <w:rPr>
          <w:rFonts w:hint="eastAsia"/>
          <w:sz w:val="24"/>
        </w:rPr>
        <w:t>（2）写出该IP地址在没有划分子网时的子网掩码。</w:t>
      </w:r>
    </w:p>
    <w:p w14:paraId="41676C70">
      <w:pPr>
        <w:autoSpaceDE w:val="0"/>
        <w:autoSpaceDN w:val="0"/>
        <w:adjustRightInd w:val="0"/>
        <w:ind w:left="480" w:hanging="480" w:hangingChars="200"/>
        <w:jc w:val="left"/>
        <w:rPr>
          <w:sz w:val="24"/>
        </w:rPr>
      </w:pPr>
      <w:r>
        <w:rPr>
          <w:rFonts w:hint="eastAsia"/>
          <w:sz w:val="24"/>
        </w:rPr>
        <w:t>（3）如果该IP地址所在网络没有划分子网，则该网络的网络地址和广播地址分别是什么？</w:t>
      </w:r>
    </w:p>
    <w:p w14:paraId="37B7CC05">
      <w:pPr>
        <w:autoSpaceDE w:val="0"/>
        <w:autoSpaceDN w:val="0"/>
        <w:adjustRightInd w:val="0"/>
        <w:spacing w:before="156" w:beforeLines="50"/>
        <w:ind w:left="360" w:hanging="360" w:hangingChars="150"/>
        <w:jc w:val="left"/>
        <w:rPr>
          <w:rFonts w:cs="宋体"/>
          <w:kern w:val="0"/>
          <w:sz w:val="24"/>
        </w:rPr>
      </w:pPr>
      <w:r>
        <w:rPr>
          <w:rFonts w:hint="eastAsia" w:cs="宋体"/>
          <w:kern w:val="0"/>
          <w:sz w:val="24"/>
        </w:rPr>
        <w:t>3、已知路由器R1有如表1所示的路由表。现在收到相邻路由器R2发来的路由更新信息，如表2所示，试更新路由器R1的路由表（表3）。</w:t>
      </w:r>
    </w:p>
    <w:p w14:paraId="211AB2A9">
      <w:pPr>
        <w:autoSpaceDE w:val="0"/>
        <w:autoSpaceDN w:val="0"/>
        <w:adjustRightInd w:val="0"/>
        <w:ind w:firstLine="2520" w:firstLineChars="1050"/>
        <w:jc w:val="left"/>
        <w:rPr>
          <w:rFonts w:cs="宋体"/>
          <w:kern w:val="0"/>
          <w:sz w:val="24"/>
        </w:rPr>
      </w:pPr>
      <w:r>
        <w:rPr>
          <w:rFonts w:hint="eastAsia" w:cs="宋体"/>
          <w:kern w:val="0"/>
          <w:sz w:val="24"/>
        </w:rPr>
        <w:t xml:space="preserve">表1                              表2 </w:t>
      </w:r>
    </w:p>
    <w:tbl>
      <w:tblPr>
        <w:tblStyle w:val="6"/>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721"/>
        <w:gridCol w:w="963"/>
        <w:gridCol w:w="507"/>
        <w:gridCol w:w="1134"/>
        <w:gridCol w:w="709"/>
        <w:gridCol w:w="1135"/>
      </w:tblGrid>
      <w:tr w14:paraId="7D52E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0" w:type="auto"/>
            <w:vAlign w:val="center"/>
          </w:tcPr>
          <w:p w14:paraId="1844C4E1">
            <w:pPr>
              <w:autoSpaceDE w:val="0"/>
              <w:autoSpaceDN w:val="0"/>
              <w:adjustRightInd w:val="0"/>
              <w:jc w:val="center"/>
              <w:rPr>
                <w:rFonts w:cs="宋体"/>
                <w:kern w:val="0"/>
                <w:sz w:val="22"/>
                <w:szCs w:val="22"/>
              </w:rPr>
            </w:pPr>
            <w:r>
              <w:rPr>
                <w:rFonts w:hint="eastAsia" w:cs="SimSun-Identity-H"/>
                <w:kern w:val="0"/>
                <w:sz w:val="22"/>
                <w:szCs w:val="22"/>
              </w:rPr>
              <w:t>目的网络</w:t>
            </w:r>
          </w:p>
        </w:tc>
        <w:tc>
          <w:tcPr>
            <w:tcW w:w="0" w:type="auto"/>
            <w:vAlign w:val="center"/>
          </w:tcPr>
          <w:p w14:paraId="2141AA28">
            <w:pPr>
              <w:autoSpaceDE w:val="0"/>
              <w:autoSpaceDN w:val="0"/>
              <w:adjustRightInd w:val="0"/>
              <w:jc w:val="center"/>
              <w:rPr>
                <w:rFonts w:cs="宋体"/>
                <w:kern w:val="0"/>
                <w:sz w:val="22"/>
                <w:szCs w:val="22"/>
              </w:rPr>
            </w:pPr>
            <w:r>
              <w:rPr>
                <w:rFonts w:hint="eastAsia" w:cs="宋体"/>
                <w:kern w:val="0"/>
                <w:sz w:val="22"/>
                <w:szCs w:val="22"/>
              </w:rPr>
              <w:t>距离</w:t>
            </w:r>
          </w:p>
        </w:tc>
        <w:tc>
          <w:tcPr>
            <w:tcW w:w="0" w:type="auto"/>
            <w:tcBorders>
              <w:right w:val="single" w:color="auto" w:sz="4" w:space="0"/>
            </w:tcBorders>
            <w:vAlign w:val="center"/>
          </w:tcPr>
          <w:p w14:paraId="6F297FC5">
            <w:pPr>
              <w:autoSpaceDE w:val="0"/>
              <w:autoSpaceDN w:val="0"/>
              <w:adjustRightInd w:val="0"/>
              <w:jc w:val="center"/>
              <w:rPr>
                <w:rFonts w:cs="宋体"/>
                <w:kern w:val="0"/>
                <w:sz w:val="22"/>
                <w:szCs w:val="22"/>
              </w:rPr>
            </w:pPr>
            <w:r>
              <w:rPr>
                <w:rFonts w:hint="eastAsia" w:cs="宋体"/>
                <w:kern w:val="0"/>
                <w:sz w:val="22"/>
                <w:szCs w:val="22"/>
              </w:rPr>
              <w:t>下一跳</w:t>
            </w:r>
          </w:p>
        </w:tc>
        <w:tc>
          <w:tcPr>
            <w:tcW w:w="507" w:type="dxa"/>
            <w:tcBorders>
              <w:top w:val="nil"/>
              <w:left w:val="single" w:color="auto" w:sz="4" w:space="0"/>
              <w:bottom w:val="nil"/>
              <w:right w:val="single" w:color="auto" w:sz="4" w:space="0"/>
            </w:tcBorders>
            <w:vAlign w:val="center"/>
          </w:tcPr>
          <w:p w14:paraId="26178E19">
            <w:pPr>
              <w:autoSpaceDE w:val="0"/>
              <w:autoSpaceDN w:val="0"/>
              <w:adjustRightInd w:val="0"/>
              <w:jc w:val="center"/>
              <w:rPr>
                <w:rFonts w:cs="宋体"/>
                <w:kern w:val="0"/>
                <w:sz w:val="22"/>
                <w:szCs w:val="22"/>
              </w:rPr>
            </w:pPr>
          </w:p>
        </w:tc>
        <w:tc>
          <w:tcPr>
            <w:tcW w:w="1134" w:type="dxa"/>
            <w:tcBorders>
              <w:left w:val="single" w:color="auto" w:sz="4" w:space="0"/>
            </w:tcBorders>
            <w:vAlign w:val="center"/>
          </w:tcPr>
          <w:p w14:paraId="70B30D5A">
            <w:pPr>
              <w:autoSpaceDE w:val="0"/>
              <w:autoSpaceDN w:val="0"/>
              <w:adjustRightInd w:val="0"/>
              <w:jc w:val="center"/>
              <w:rPr>
                <w:rFonts w:cs="宋体"/>
                <w:kern w:val="0"/>
                <w:sz w:val="22"/>
                <w:szCs w:val="22"/>
              </w:rPr>
            </w:pPr>
            <w:r>
              <w:rPr>
                <w:rFonts w:hint="eastAsia" w:cs="SimSun-Identity-H"/>
                <w:kern w:val="0"/>
                <w:sz w:val="22"/>
                <w:szCs w:val="22"/>
              </w:rPr>
              <w:t>目的网络</w:t>
            </w:r>
          </w:p>
        </w:tc>
        <w:tc>
          <w:tcPr>
            <w:tcW w:w="709" w:type="dxa"/>
            <w:vAlign w:val="center"/>
          </w:tcPr>
          <w:p w14:paraId="20141F59">
            <w:pPr>
              <w:autoSpaceDE w:val="0"/>
              <w:autoSpaceDN w:val="0"/>
              <w:adjustRightInd w:val="0"/>
              <w:jc w:val="center"/>
              <w:rPr>
                <w:rFonts w:cs="宋体"/>
                <w:kern w:val="0"/>
                <w:sz w:val="22"/>
                <w:szCs w:val="22"/>
              </w:rPr>
            </w:pPr>
            <w:r>
              <w:rPr>
                <w:rFonts w:hint="eastAsia" w:cs="宋体"/>
                <w:kern w:val="0"/>
                <w:sz w:val="22"/>
                <w:szCs w:val="22"/>
              </w:rPr>
              <w:t>距离</w:t>
            </w:r>
          </w:p>
        </w:tc>
        <w:tc>
          <w:tcPr>
            <w:tcW w:w="1134" w:type="dxa"/>
            <w:vAlign w:val="center"/>
          </w:tcPr>
          <w:p w14:paraId="3F03514E">
            <w:pPr>
              <w:autoSpaceDE w:val="0"/>
              <w:autoSpaceDN w:val="0"/>
              <w:adjustRightInd w:val="0"/>
              <w:jc w:val="center"/>
              <w:rPr>
                <w:rFonts w:cs="宋体"/>
                <w:kern w:val="0"/>
                <w:sz w:val="22"/>
                <w:szCs w:val="22"/>
              </w:rPr>
            </w:pPr>
            <w:r>
              <w:rPr>
                <w:rFonts w:hint="eastAsia" w:cs="宋体"/>
                <w:kern w:val="0"/>
                <w:sz w:val="22"/>
                <w:szCs w:val="22"/>
              </w:rPr>
              <w:t>下一跳</w:t>
            </w:r>
          </w:p>
        </w:tc>
      </w:tr>
      <w:tr w14:paraId="191A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vAlign w:val="center"/>
          </w:tcPr>
          <w:p w14:paraId="71127FD7">
            <w:pPr>
              <w:autoSpaceDE w:val="0"/>
              <w:autoSpaceDN w:val="0"/>
              <w:adjustRightInd w:val="0"/>
              <w:jc w:val="center"/>
              <w:rPr>
                <w:rFonts w:cs="宋体"/>
                <w:kern w:val="0"/>
                <w:sz w:val="22"/>
                <w:szCs w:val="22"/>
              </w:rPr>
            </w:pPr>
            <w:r>
              <w:rPr>
                <w:rFonts w:hint="eastAsia" w:cs="宋体"/>
                <w:kern w:val="0"/>
                <w:sz w:val="22"/>
                <w:szCs w:val="22"/>
              </w:rPr>
              <w:t>Net2</w:t>
            </w:r>
          </w:p>
        </w:tc>
        <w:tc>
          <w:tcPr>
            <w:tcW w:w="0" w:type="auto"/>
            <w:vAlign w:val="center"/>
          </w:tcPr>
          <w:p w14:paraId="6DBF3FE2">
            <w:pPr>
              <w:autoSpaceDE w:val="0"/>
              <w:autoSpaceDN w:val="0"/>
              <w:adjustRightInd w:val="0"/>
              <w:jc w:val="center"/>
              <w:rPr>
                <w:rFonts w:cs="宋体"/>
                <w:kern w:val="0"/>
                <w:sz w:val="22"/>
                <w:szCs w:val="22"/>
              </w:rPr>
            </w:pPr>
            <w:r>
              <w:rPr>
                <w:rFonts w:hint="eastAsia" w:cs="宋体"/>
                <w:kern w:val="0"/>
                <w:sz w:val="22"/>
                <w:szCs w:val="22"/>
              </w:rPr>
              <w:t>3</w:t>
            </w:r>
          </w:p>
        </w:tc>
        <w:tc>
          <w:tcPr>
            <w:tcW w:w="0" w:type="auto"/>
            <w:tcBorders>
              <w:right w:val="single" w:color="auto" w:sz="4" w:space="0"/>
            </w:tcBorders>
            <w:vAlign w:val="center"/>
          </w:tcPr>
          <w:p w14:paraId="5D02A6C7">
            <w:pPr>
              <w:autoSpaceDE w:val="0"/>
              <w:autoSpaceDN w:val="0"/>
              <w:adjustRightInd w:val="0"/>
              <w:jc w:val="center"/>
              <w:rPr>
                <w:rFonts w:cs="宋体"/>
                <w:kern w:val="0"/>
                <w:sz w:val="22"/>
                <w:szCs w:val="22"/>
              </w:rPr>
            </w:pPr>
            <w:r>
              <w:rPr>
                <w:rFonts w:hint="eastAsia" w:cs="宋体"/>
                <w:kern w:val="0"/>
                <w:sz w:val="22"/>
                <w:szCs w:val="22"/>
              </w:rPr>
              <w:t>R4</w:t>
            </w:r>
          </w:p>
        </w:tc>
        <w:tc>
          <w:tcPr>
            <w:tcW w:w="507" w:type="dxa"/>
            <w:tcBorders>
              <w:top w:val="nil"/>
              <w:left w:val="single" w:color="auto" w:sz="4" w:space="0"/>
              <w:bottom w:val="nil"/>
              <w:right w:val="single" w:color="auto" w:sz="4" w:space="0"/>
            </w:tcBorders>
            <w:vAlign w:val="center"/>
          </w:tcPr>
          <w:p w14:paraId="49C50CDD">
            <w:pPr>
              <w:autoSpaceDE w:val="0"/>
              <w:autoSpaceDN w:val="0"/>
              <w:adjustRightInd w:val="0"/>
              <w:jc w:val="center"/>
              <w:rPr>
                <w:rFonts w:cs="宋体"/>
                <w:kern w:val="0"/>
                <w:sz w:val="22"/>
                <w:szCs w:val="22"/>
              </w:rPr>
            </w:pPr>
          </w:p>
        </w:tc>
        <w:tc>
          <w:tcPr>
            <w:tcW w:w="1134" w:type="dxa"/>
            <w:tcBorders>
              <w:left w:val="single" w:color="auto" w:sz="4" w:space="0"/>
            </w:tcBorders>
            <w:vAlign w:val="center"/>
          </w:tcPr>
          <w:p w14:paraId="278B5BB2">
            <w:pPr>
              <w:autoSpaceDE w:val="0"/>
              <w:autoSpaceDN w:val="0"/>
              <w:adjustRightInd w:val="0"/>
              <w:jc w:val="center"/>
              <w:rPr>
                <w:rFonts w:cs="宋体"/>
                <w:kern w:val="0"/>
                <w:sz w:val="22"/>
                <w:szCs w:val="22"/>
              </w:rPr>
            </w:pPr>
            <w:r>
              <w:rPr>
                <w:rFonts w:hint="eastAsia" w:cs="宋体"/>
                <w:kern w:val="0"/>
                <w:sz w:val="22"/>
                <w:szCs w:val="22"/>
              </w:rPr>
              <w:t>Net2</w:t>
            </w:r>
          </w:p>
        </w:tc>
        <w:tc>
          <w:tcPr>
            <w:tcW w:w="709" w:type="dxa"/>
            <w:vAlign w:val="center"/>
          </w:tcPr>
          <w:p w14:paraId="2849743D">
            <w:pPr>
              <w:autoSpaceDE w:val="0"/>
              <w:autoSpaceDN w:val="0"/>
              <w:adjustRightInd w:val="0"/>
              <w:jc w:val="center"/>
              <w:rPr>
                <w:rFonts w:cs="宋体"/>
                <w:kern w:val="0"/>
                <w:sz w:val="22"/>
                <w:szCs w:val="22"/>
              </w:rPr>
            </w:pPr>
            <w:r>
              <w:rPr>
                <w:rFonts w:hint="eastAsia" w:cs="宋体"/>
                <w:kern w:val="0"/>
                <w:sz w:val="22"/>
                <w:szCs w:val="22"/>
              </w:rPr>
              <w:t>4</w:t>
            </w:r>
          </w:p>
        </w:tc>
        <w:tc>
          <w:tcPr>
            <w:tcW w:w="1134" w:type="dxa"/>
            <w:vAlign w:val="center"/>
          </w:tcPr>
          <w:p w14:paraId="24FD00F5">
            <w:pPr>
              <w:autoSpaceDE w:val="0"/>
              <w:autoSpaceDN w:val="0"/>
              <w:adjustRightInd w:val="0"/>
              <w:jc w:val="center"/>
              <w:rPr>
                <w:rFonts w:cs="宋体"/>
                <w:kern w:val="0"/>
                <w:sz w:val="22"/>
                <w:szCs w:val="22"/>
              </w:rPr>
            </w:pPr>
            <w:r>
              <w:rPr>
                <w:rFonts w:hint="eastAsia" w:cs="宋体"/>
                <w:kern w:val="0"/>
                <w:sz w:val="22"/>
                <w:szCs w:val="22"/>
              </w:rPr>
              <w:t>R3</w:t>
            </w:r>
          </w:p>
        </w:tc>
      </w:tr>
      <w:tr w14:paraId="2259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vAlign w:val="center"/>
          </w:tcPr>
          <w:p w14:paraId="2961D518">
            <w:pPr>
              <w:autoSpaceDE w:val="0"/>
              <w:autoSpaceDN w:val="0"/>
              <w:adjustRightInd w:val="0"/>
              <w:jc w:val="center"/>
              <w:rPr>
                <w:rFonts w:cs="宋体"/>
                <w:kern w:val="0"/>
                <w:sz w:val="22"/>
                <w:szCs w:val="22"/>
              </w:rPr>
            </w:pPr>
            <w:r>
              <w:rPr>
                <w:rFonts w:hint="eastAsia" w:cs="宋体"/>
                <w:kern w:val="0"/>
                <w:sz w:val="22"/>
                <w:szCs w:val="22"/>
              </w:rPr>
              <w:t>Net3</w:t>
            </w:r>
          </w:p>
        </w:tc>
        <w:tc>
          <w:tcPr>
            <w:tcW w:w="0" w:type="auto"/>
            <w:vAlign w:val="center"/>
          </w:tcPr>
          <w:p w14:paraId="2938BC2F">
            <w:pPr>
              <w:autoSpaceDE w:val="0"/>
              <w:autoSpaceDN w:val="0"/>
              <w:adjustRightInd w:val="0"/>
              <w:jc w:val="center"/>
              <w:rPr>
                <w:rFonts w:cs="宋体"/>
                <w:kern w:val="0"/>
                <w:sz w:val="22"/>
                <w:szCs w:val="22"/>
              </w:rPr>
            </w:pPr>
            <w:r>
              <w:rPr>
                <w:rFonts w:hint="eastAsia" w:cs="宋体"/>
                <w:kern w:val="0"/>
                <w:sz w:val="22"/>
                <w:szCs w:val="22"/>
              </w:rPr>
              <w:t>4</w:t>
            </w:r>
          </w:p>
        </w:tc>
        <w:tc>
          <w:tcPr>
            <w:tcW w:w="0" w:type="auto"/>
            <w:tcBorders>
              <w:right w:val="single" w:color="auto" w:sz="4" w:space="0"/>
            </w:tcBorders>
            <w:vAlign w:val="center"/>
          </w:tcPr>
          <w:p w14:paraId="00980EFA">
            <w:pPr>
              <w:autoSpaceDE w:val="0"/>
              <w:autoSpaceDN w:val="0"/>
              <w:adjustRightInd w:val="0"/>
              <w:jc w:val="center"/>
              <w:rPr>
                <w:rFonts w:cs="宋体"/>
                <w:kern w:val="0"/>
                <w:sz w:val="22"/>
                <w:szCs w:val="22"/>
              </w:rPr>
            </w:pPr>
            <w:r>
              <w:rPr>
                <w:rFonts w:hint="eastAsia" w:cs="宋体"/>
                <w:kern w:val="0"/>
                <w:sz w:val="22"/>
                <w:szCs w:val="22"/>
              </w:rPr>
              <w:t>R5</w:t>
            </w:r>
          </w:p>
        </w:tc>
        <w:tc>
          <w:tcPr>
            <w:tcW w:w="507" w:type="dxa"/>
            <w:tcBorders>
              <w:top w:val="nil"/>
              <w:left w:val="single" w:color="auto" w:sz="4" w:space="0"/>
              <w:bottom w:val="nil"/>
              <w:right w:val="single" w:color="auto" w:sz="4" w:space="0"/>
            </w:tcBorders>
            <w:vAlign w:val="center"/>
          </w:tcPr>
          <w:p w14:paraId="64832D43">
            <w:pPr>
              <w:autoSpaceDE w:val="0"/>
              <w:autoSpaceDN w:val="0"/>
              <w:adjustRightInd w:val="0"/>
              <w:jc w:val="center"/>
              <w:rPr>
                <w:rFonts w:cs="宋体"/>
                <w:kern w:val="0"/>
                <w:sz w:val="22"/>
                <w:szCs w:val="22"/>
              </w:rPr>
            </w:pPr>
          </w:p>
        </w:tc>
        <w:tc>
          <w:tcPr>
            <w:tcW w:w="1134" w:type="dxa"/>
            <w:tcBorders>
              <w:left w:val="single" w:color="auto" w:sz="4" w:space="0"/>
            </w:tcBorders>
            <w:vAlign w:val="center"/>
          </w:tcPr>
          <w:p w14:paraId="176C5622">
            <w:pPr>
              <w:autoSpaceDE w:val="0"/>
              <w:autoSpaceDN w:val="0"/>
              <w:adjustRightInd w:val="0"/>
              <w:jc w:val="center"/>
              <w:rPr>
                <w:rFonts w:cs="宋体"/>
                <w:kern w:val="0"/>
                <w:sz w:val="22"/>
                <w:szCs w:val="22"/>
              </w:rPr>
            </w:pPr>
            <w:r>
              <w:rPr>
                <w:rFonts w:hint="eastAsia" w:cs="宋体"/>
                <w:kern w:val="0"/>
                <w:sz w:val="22"/>
                <w:szCs w:val="22"/>
              </w:rPr>
              <w:t>Net3</w:t>
            </w:r>
          </w:p>
        </w:tc>
        <w:tc>
          <w:tcPr>
            <w:tcW w:w="709" w:type="dxa"/>
            <w:vAlign w:val="center"/>
          </w:tcPr>
          <w:p w14:paraId="32311FC8">
            <w:pPr>
              <w:autoSpaceDE w:val="0"/>
              <w:autoSpaceDN w:val="0"/>
              <w:adjustRightInd w:val="0"/>
              <w:jc w:val="center"/>
              <w:rPr>
                <w:rFonts w:cs="宋体"/>
                <w:kern w:val="0"/>
                <w:sz w:val="22"/>
                <w:szCs w:val="22"/>
              </w:rPr>
            </w:pPr>
            <w:r>
              <w:rPr>
                <w:rFonts w:hint="eastAsia" w:cs="宋体"/>
                <w:kern w:val="0"/>
                <w:sz w:val="22"/>
                <w:szCs w:val="22"/>
              </w:rPr>
              <w:t>1</w:t>
            </w:r>
          </w:p>
        </w:tc>
        <w:tc>
          <w:tcPr>
            <w:tcW w:w="1134" w:type="dxa"/>
            <w:vAlign w:val="center"/>
          </w:tcPr>
          <w:p w14:paraId="219D15CC">
            <w:pPr>
              <w:autoSpaceDE w:val="0"/>
              <w:autoSpaceDN w:val="0"/>
              <w:adjustRightInd w:val="0"/>
              <w:jc w:val="center"/>
              <w:rPr>
                <w:rFonts w:cs="宋体"/>
                <w:kern w:val="0"/>
                <w:sz w:val="22"/>
                <w:szCs w:val="22"/>
              </w:rPr>
            </w:pPr>
            <w:r>
              <w:rPr>
                <w:rFonts w:hint="eastAsia" w:cs="宋体"/>
                <w:kern w:val="0"/>
                <w:sz w:val="22"/>
                <w:szCs w:val="22"/>
                <w:lang w:val="fr-FR"/>
              </w:rPr>
              <w:t>直接交付</w:t>
            </w:r>
          </w:p>
        </w:tc>
      </w:tr>
      <w:tr w14:paraId="455A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Align w:val="center"/>
          </w:tcPr>
          <w:p w14:paraId="70E3D826">
            <w:pPr>
              <w:autoSpaceDE w:val="0"/>
              <w:autoSpaceDN w:val="0"/>
              <w:adjustRightInd w:val="0"/>
              <w:jc w:val="center"/>
              <w:rPr>
                <w:rFonts w:cs="宋体"/>
                <w:kern w:val="0"/>
                <w:sz w:val="22"/>
                <w:szCs w:val="22"/>
              </w:rPr>
            </w:pPr>
          </w:p>
        </w:tc>
        <w:tc>
          <w:tcPr>
            <w:tcW w:w="0" w:type="auto"/>
            <w:vAlign w:val="center"/>
          </w:tcPr>
          <w:p w14:paraId="6FE81FE4">
            <w:pPr>
              <w:autoSpaceDE w:val="0"/>
              <w:autoSpaceDN w:val="0"/>
              <w:adjustRightInd w:val="0"/>
              <w:jc w:val="center"/>
              <w:rPr>
                <w:rFonts w:cs="宋体"/>
                <w:kern w:val="0"/>
                <w:sz w:val="22"/>
                <w:szCs w:val="22"/>
              </w:rPr>
            </w:pPr>
          </w:p>
        </w:tc>
        <w:tc>
          <w:tcPr>
            <w:tcW w:w="0" w:type="auto"/>
            <w:tcBorders>
              <w:right w:val="single" w:color="auto" w:sz="4" w:space="0"/>
            </w:tcBorders>
            <w:vAlign w:val="center"/>
          </w:tcPr>
          <w:p w14:paraId="371C51DC">
            <w:pPr>
              <w:autoSpaceDE w:val="0"/>
              <w:autoSpaceDN w:val="0"/>
              <w:adjustRightInd w:val="0"/>
              <w:jc w:val="center"/>
              <w:rPr>
                <w:rFonts w:cs="宋体"/>
                <w:kern w:val="0"/>
                <w:sz w:val="22"/>
                <w:szCs w:val="22"/>
              </w:rPr>
            </w:pPr>
          </w:p>
        </w:tc>
        <w:tc>
          <w:tcPr>
            <w:tcW w:w="507" w:type="dxa"/>
            <w:tcBorders>
              <w:top w:val="nil"/>
              <w:left w:val="single" w:color="auto" w:sz="4" w:space="0"/>
              <w:bottom w:val="nil"/>
              <w:right w:val="single" w:color="auto" w:sz="4" w:space="0"/>
            </w:tcBorders>
            <w:vAlign w:val="center"/>
          </w:tcPr>
          <w:p w14:paraId="547D2B47">
            <w:pPr>
              <w:autoSpaceDE w:val="0"/>
              <w:autoSpaceDN w:val="0"/>
              <w:adjustRightInd w:val="0"/>
              <w:jc w:val="center"/>
              <w:rPr>
                <w:rFonts w:cs="宋体"/>
                <w:kern w:val="0"/>
                <w:sz w:val="22"/>
                <w:szCs w:val="22"/>
              </w:rPr>
            </w:pPr>
          </w:p>
        </w:tc>
        <w:tc>
          <w:tcPr>
            <w:tcW w:w="1134" w:type="dxa"/>
            <w:tcBorders>
              <w:left w:val="single" w:color="auto" w:sz="4" w:space="0"/>
            </w:tcBorders>
            <w:vAlign w:val="center"/>
          </w:tcPr>
          <w:p w14:paraId="60F23222">
            <w:pPr>
              <w:autoSpaceDE w:val="0"/>
              <w:autoSpaceDN w:val="0"/>
              <w:adjustRightInd w:val="0"/>
              <w:jc w:val="center"/>
              <w:rPr>
                <w:rFonts w:cs="宋体"/>
                <w:kern w:val="0"/>
                <w:sz w:val="22"/>
                <w:szCs w:val="22"/>
              </w:rPr>
            </w:pPr>
            <w:r>
              <w:rPr>
                <w:rFonts w:hint="eastAsia" w:cs="宋体"/>
                <w:kern w:val="0"/>
                <w:sz w:val="22"/>
                <w:szCs w:val="22"/>
              </w:rPr>
              <w:t>Net4</w:t>
            </w:r>
          </w:p>
        </w:tc>
        <w:tc>
          <w:tcPr>
            <w:tcW w:w="709" w:type="dxa"/>
            <w:vAlign w:val="center"/>
          </w:tcPr>
          <w:p w14:paraId="467A3F68">
            <w:pPr>
              <w:autoSpaceDE w:val="0"/>
              <w:autoSpaceDN w:val="0"/>
              <w:adjustRightInd w:val="0"/>
              <w:jc w:val="center"/>
              <w:rPr>
                <w:rFonts w:cs="宋体"/>
                <w:kern w:val="0"/>
                <w:sz w:val="22"/>
                <w:szCs w:val="22"/>
              </w:rPr>
            </w:pPr>
            <w:r>
              <w:rPr>
                <w:rFonts w:hint="eastAsia" w:cs="宋体"/>
                <w:kern w:val="0"/>
                <w:sz w:val="22"/>
                <w:szCs w:val="22"/>
              </w:rPr>
              <w:t>3</w:t>
            </w:r>
          </w:p>
        </w:tc>
        <w:tc>
          <w:tcPr>
            <w:tcW w:w="1134" w:type="dxa"/>
            <w:vAlign w:val="center"/>
          </w:tcPr>
          <w:p w14:paraId="5ADF58B0">
            <w:pPr>
              <w:autoSpaceDE w:val="0"/>
              <w:autoSpaceDN w:val="0"/>
              <w:adjustRightInd w:val="0"/>
              <w:jc w:val="center"/>
              <w:rPr>
                <w:rFonts w:cs="宋体"/>
                <w:kern w:val="0"/>
                <w:sz w:val="22"/>
                <w:szCs w:val="22"/>
              </w:rPr>
            </w:pPr>
            <w:r>
              <w:rPr>
                <w:rFonts w:hint="eastAsia" w:cs="宋体"/>
                <w:kern w:val="0"/>
                <w:sz w:val="22"/>
                <w:szCs w:val="22"/>
              </w:rPr>
              <w:t>R5</w:t>
            </w:r>
          </w:p>
        </w:tc>
      </w:tr>
    </w:tbl>
    <w:p w14:paraId="33144FDC">
      <w:pPr>
        <w:autoSpaceDE w:val="0"/>
        <w:autoSpaceDN w:val="0"/>
        <w:adjustRightInd w:val="0"/>
        <w:jc w:val="center"/>
        <w:rPr>
          <w:bCs/>
          <w:sz w:val="24"/>
        </w:rPr>
      </w:pPr>
      <w:r>
        <w:rPr>
          <w:rFonts w:hint="eastAsia"/>
          <w:bCs/>
          <w:sz w:val="24"/>
        </w:rPr>
        <w:t>表3</w:t>
      </w:r>
    </w:p>
    <w:tbl>
      <w:tblPr>
        <w:tblStyle w:val="6"/>
        <w:tblW w:w="3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851"/>
        <w:gridCol w:w="1137"/>
      </w:tblGrid>
      <w:tr w14:paraId="10EF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0" w:type="auto"/>
            <w:vAlign w:val="center"/>
          </w:tcPr>
          <w:p w14:paraId="2D487122">
            <w:pPr>
              <w:autoSpaceDE w:val="0"/>
              <w:autoSpaceDN w:val="0"/>
              <w:adjustRightInd w:val="0"/>
              <w:jc w:val="center"/>
              <w:rPr>
                <w:rFonts w:cs="宋体"/>
                <w:kern w:val="0"/>
                <w:sz w:val="22"/>
                <w:szCs w:val="22"/>
              </w:rPr>
            </w:pPr>
            <w:r>
              <w:rPr>
                <w:rFonts w:hint="eastAsia" w:cs="SimSun-Identity-H"/>
                <w:kern w:val="0"/>
                <w:sz w:val="22"/>
                <w:szCs w:val="22"/>
              </w:rPr>
              <w:t>目的网络</w:t>
            </w:r>
          </w:p>
        </w:tc>
        <w:tc>
          <w:tcPr>
            <w:tcW w:w="0" w:type="auto"/>
            <w:vAlign w:val="center"/>
          </w:tcPr>
          <w:p w14:paraId="4F28E065">
            <w:pPr>
              <w:autoSpaceDE w:val="0"/>
              <w:autoSpaceDN w:val="0"/>
              <w:adjustRightInd w:val="0"/>
              <w:jc w:val="center"/>
              <w:rPr>
                <w:rFonts w:cs="宋体"/>
                <w:kern w:val="0"/>
                <w:sz w:val="22"/>
                <w:szCs w:val="22"/>
              </w:rPr>
            </w:pPr>
            <w:r>
              <w:rPr>
                <w:rFonts w:hint="eastAsia" w:cs="宋体"/>
                <w:kern w:val="0"/>
                <w:sz w:val="22"/>
                <w:szCs w:val="22"/>
              </w:rPr>
              <w:t>距离</w:t>
            </w:r>
          </w:p>
        </w:tc>
        <w:tc>
          <w:tcPr>
            <w:tcW w:w="0" w:type="auto"/>
            <w:vAlign w:val="center"/>
          </w:tcPr>
          <w:p w14:paraId="6E3561A0">
            <w:pPr>
              <w:autoSpaceDE w:val="0"/>
              <w:autoSpaceDN w:val="0"/>
              <w:adjustRightInd w:val="0"/>
              <w:jc w:val="center"/>
              <w:rPr>
                <w:rFonts w:cs="宋体"/>
                <w:kern w:val="0"/>
                <w:sz w:val="22"/>
                <w:szCs w:val="22"/>
              </w:rPr>
            </w:pPr>
            <w:r>
              <w:rPr>
                <w:rFonts w:hint="eastAsia" w:cs="宋体"/>
                <w:kern w:val="0"/>
                <w:sz w:val="22"/>
                <w:szCs w:val="22"/>
              </w:rPr>
              <w:t>下一跳</w:t>
            </w:r>
          </w:p>
        </w:tc>
      </w:tr>
      <w:tr w14:paraId="42E8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0" w:type="auto"/>
            <w:vAlign w:val="center"/>
          </w:tcPr>
          <w:p w14:paraId="3F36BC5F">
            <w:pPr>
              <w:autoSpaceDE w:val="0"/>
              <w:autoSpaceDN w:val="0"/>
              <w:adjustRightInd w:val="0"/>
              <w:jc w:val="center"/>
              <w:rPr>
                <w:rFonts w:cs="宋体"/>
                <w:kern w:val="0"/>
                <w:sz w:val="22"/>
                <w:szCs w:val="22"/>
              </w:rPr>
            </w:pPr>
            <w:r>
              <w:rPr>
                <w:rFonts w:hint="eastAsia" w:cs="宋体"/>
                <w:kern w:val="0"/>
                <w:sz w:val="22"/>
                <w:szCs w:val="22"/>
              </w:rPr>
              <w:t>Net2</w:t>
            </w:r>
          </w:p>
        </w:tc>
        <w:tc>
          <w:tcPr>
            <w:tcW w:w="0" w:type="auto"/>
            <w:vAlign w:val="center"/>
          </w:tcPr>
          <w:p w14:paraId="31E557C9">
            <w:pPr>
              <w:autoSpaceDE w:val="0"/>
              <w:autoSpaceDN w:val="0"/>
              <w:adjustRightInd w:val="0"/>
              <w:jc w:val="center"/>
              <w:rPr>
                <w:rFonts w:cs="宋体"/>
                <w:kern w:val="0"/>
                <w:sz w:val="22"/>
                <w:szCs w:val="22"/>
              </w:rPr>
            </w:pPr>
          </w:p>
        </w:tc>
        <w:tc>
          <w:tcPr>
            <w:tcW w:w="0" w:type="auto"/>
            <w:vAlign w:val="center"/>
          </w:tcPr>
          <w:p w14:paraId="46659A9A">
            <w:pPr>
              <w:autoSpaceDE w:val="0"/>
              <w:autoSpaceDN w:val="0"/>
              <w:adjustRightInd w:val="0"/>
              <w:jc w:val="center"/>
              <w:rPr>
                <w:rFonts w:cs="宋体"/>
                <w:kern w:val="0"/>
                <w:sz w:val="22"/>
                <w:szCs w:val="22"/>
              </w:rPr>
            </w:pPr>
          </w:p>
        </w:tc>
      </w:tr>
      <w:tr w14:paraId="717C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0" w:type="auto"/>
            <w:vAlign w:val="center"/>
          </w:tcPr>
          <w:p w14:paraId="7BA44AC4">
            <w:pPr>
              <w:autoSpaceDE w:val="0"/>
              <w:autoSpaceDN w:val="0"/>
              <w:adjustRightInd w:val="0"/>
              <w:jc w:val="center"/>
              <w:rPr>
                <w:rFonts w:cs="宋体"/>
                <w:kern w:val="0"/>
                <w:sz w:val="22"/>
                <w:szCs w:val="22"/>
              </w:rPr>
            </w:pPr>
            <w:r>
              <w:rPr>
                <w:rFonts w:hint="eastAsia" w:cs="宋体"/>
                <w:kern w:val="0"/>
                <w:sz w:val="22"/>
                <w:szCs w:val="22"/>
              </w:rPr>
              <w:t>Net3</w:t>
            </w:r>
          </w:p>
        </w:tc>
        <w:tc>
          <w:tcPr>
            <w:tcW w:w="0" w:type="auto"/>
            <w:vAlign w:val="center"/>
          </w:tcPr>
          <w:p w14:paraId="68D53125">
            <w:pPr>
              <w:autoSpaceDE w:val="0"/>
              <w:autoSpaceDN w:val="0"/>
              <w:adjustRightInd w:val="0"/>
              <w:jc w:val="center"/>
              <w:rPr>
                <w:rFonts w:cs="宋体"/>
                <w:kern w:val="0"/>
                <w:sz w:val="22"/>
                <w:szCs w:val="22"/>
              </w:rPr>
            </w:pPr>
          </w:p>
        </w:tc>
        <w:tc>
          <w:tcPr>
            <w:tcW w:w="0" w:type="auto"/>
            <w:vAlign w:val="center"/>
          </w:tcPr>
          <w:p w14:paraId="55CB40AA">
            <w:pPr>
              <w:autoSpaceDE w:val="0"/>
              <w:autoSpaceDN w:val="0"/>
              <w:adjustRightInd w:val="0"/>
              <w:jc w:val="center"/>
              <w:rPr>
                <w:rFonts w:cs="宋体"/>
                <w:kern w:val="0"/>
                <w:sz w:val="22"/>
                <w:szCs w:val="22"/>
              </w:rPr>
            </w:pPr>
          </w:p>
        </w:tc>
      </w:tr>
      <w:tr w14:paraId="334E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0" w:type="auto"/>
            <w:vAlign w:val="center"/>
          </w:tcPr>
          <w:p w14:paraId="57059A69">
            <w:pPr>
              <w:autoSpaceDE w:val="0"/>
              <w:autoSpaceDN w:val="0"/>
              <w:adjustRightInd w:val="0"/>
              <w:jc w:val="center"/>
              <w:rPr>
                <w:rFonts w:cs="宋体"/>
                <w:kern w:val="0"/>
                <w:sz w:val="22"/>
                <w:szCs w:val="22"/>
              </w:rPr>
            </w:pPr>
            <w:r>
              <w:rPr>
                <w:rFonts w:hint="eastAsia" w:cs="宋体"/>
                <w:kern w:val="0"/>
                <w:sz w:val="22"/>
                <w:szCs w:val="22"/>
              </w:rPr>
              <w:t>Net4</w:t>
            </w:r>
          </w:p>
        </w:tc>
        <w:tc>
          <w:tcPr>
            <w:tcW w:w="0" w:type="auto"/>
            <w:vAlign w:val="center"/>
          </w:tcPr>
          <w:p w14:paraId="0D019E04">
            <w:pPr>
              <w:autoSpaceDE w:val="0"/>
              <w:autoSpaceDN w:val="0"/>
              <w:adjustRightInd w:val="0"/>
              <w:jc w:val="center"/>
              <w:rPr>
                <w:rFonts w:cs="宋体"/>
                <w:kern w:val="0"/>
                <w:sz w:val="22"/>
                <w:szCs w:val="22"/>
              </w:rPr>
            </w:pPr>
          </w:p>
        </w:tc>
        <w:tc>
          <w:tcPr>
            <w:tcW w:w="0" w:type="auto"/>
            <w:vAlign w:val="center"/>
          </w:tcPr>
          <w:p w14:paraId="1217BA33">
            <w:pPr>
              <w:autoSpaceDE w:val="0"/>
              <w:autoSpaceDN w:val="0"/>
              <w:adjustRightInd w:val="0"/>
              <w:jc w:val="center"/>
              <w:rPr>
                <w:rFonts w:cs="宋体"/>
                <w:kern w:val="0"/>
                <w:sz w:val="22"/>
                <w:szCs w:val="22"/>
              </w:rPr>
            </w:pPr>
          </w:p>
        </w:tc>
      </w:tr>
    </w:tbl>
    <w:p w14:paraId="77C9DF22">
      <w:pPr>
        <w:spacing w:before="156" w:beforeLines="50"/>
        <w:ind w:left="360" w:hanging="360" w:hangingChars="150"/>
        <w:rPr>
          <w:sz w:val="24"/>
        </w:rPr>
      </w:pPr>
      <w:r>
        <w:rPr>
          <w:rFonts w:hint="eastAsia"/>
          <w:sz w:val="24"/>
        </w:rPr>
        <w:t>4、一个UDP数据报的数据字段为8192字节。在链路层要使用以太网来传送，试问应当划分为几个IP数据报片？说明每一个IP数据报片的数据字段长度和片偏移字段的值？</w:t>
      </w:r>
    </w:p>
    <w:p w14:paraId="16820DEB">
      <w:pPr>
        <w:autoSpaceDE w:val="0"/>
        <w:autoSpaceDN w:val="0"/>
        <w:adjustRightInd w:val="0"/>
        <w:spacing w:before="156" w:beforeLines="50"/>
        <w:ind w:left="360" w:hanging="360" w:hangingChars="150"/>
        <w:rPr>
          <w:sz w:val="24"/>
        </w:rPr>
      </w:pPr>
      <w:r>
        <w:rPr>
          <w:rFonts w:hint="eastAsia" w:cs="宋体"/>
          <w:kern w:val="0"/>
          <w:sz w:val="24"/>
        </w:rPr>
        <w:t>5、如下图所示，网桥B1和B2连接3个局域网LAN1、LAN2、LAN3；假定初始化时，B1和B2的转发表为空，则当各站点按下列顺序发送数据帧：A</w:t>
      </w:r>
      <w:r>
        <w:rPr>
          <w:rFonts w:cs="宋体"/>
          <w:kern w:val="0"/>
          <w:sz w:val="24"/>
        </w:rPr>
        <w:sym w:font="Wingdings" w:char="F0E0"/>
      </w:r>
      <w:r>
        <w:rPr>
          <w:rFonts w:hint="eastAsia" w:cs="宋体"/>
          <w:kern w:val="0"/>
          <w:sz w:val="24"/>
        </w:rPr>
        <w:t>B，C</w:t>
      </w:r>
      <w:r>
        <w:rPr>
          <w:rFonts w:cs="宋体"/>
          <w:kern w:val="0"/>
          <w:sz w:val="24"/>
        </w:rPr>
        <w:sym w:font="Wingdings" w:char="F0E0"/>
      </w:r>
      <w:r>
        <w:rPr>
          <w:rFonts w:hint="eastAsia" w:cs="宋体"/>
          <w:kern w:val="0"/>
          <w:sz w:val="24"/>
        </w:rPr>
        <w:t>A，D</w:t>
      </w:r>
      <w:r>
        <w:rPr>
          <w:rFonts w:cs="宋体"/>
          <w:kern w:val="0"/>
          <w:sz w:val="24"/>
        </w:rPr>
        <w:sym w:font="Wingdings" w:char="F0E0"/>
      </w:r>
      <w:r>
        <w:rPr>
          <w:rFonts w:hint="eastAsia" w:cs="宋体"/>
          <w:kern w:val="0"/>
          <w:sz w:val="24"/>
        </w:rPr>
        <w:t>C，B</w:t>
      </w:r>
      <w:r>
        <w:rPr>
          <w:rFonts w:cs="宋体"/>
          <w:kern w:val="0"/>
          <w:sz w:val="24"/>
        </w:rPr>
        <w:sym w:font="Wingdings" w:char="F0E0"/>
      </w:r>
      <w:r>
        <w:rPr>
          <w:rFonts w:hint="eastAsia" w:cs="宋体"/>
          <w:kern w:val="0"/>
          <w:sz w:val="24"/>
        </w:rPr>
        <w:t>C，请完成表4中的有关数据。</w:t>
      </w:r>
    </w:p>
    <w:p w14:paraId="165CBFDF">
      <w:pPr>
        <w:autoSpaceDE w:val="0"/>
        <w:autoSpaceDN w:val="0"/>
        <w:adjustRightInd w:val="0"/>
        <w:spacing w:line="360" w:lineRule="auto"/>
        <w:ind w:left="420"/>
        <w:jc w:val="center"/>
        <w:rPr>
          <w:sz w:val="24"/>
        </w:rPr>
      </w:pPr>
      <w:r>
        <w:rPr>
          <w:sz w:val="24"/>
        </w:rPr>
        <w:drawing>
          <wp:inline distT="0" distB="0" distL="0" distR="0">
            <wp:extent cx="3835400" cy="1892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835400" cy="1892300"/>
                    </a:xfrm>
                    <a:prstGeom prst="rect">
                      <a:avLst/>
                    </a:prstGeom>
                    <a:noFill/>
                    <a:ln>
                      <a:noFill/>
                    </a:ln>
                  </pic:spPr>
                </pic:pic>
              </a:graphicData>
            </a:graphic>
          </wp:inline>
        </w:drawing>
      </w:r>
    </w:p>
    <w:p w14:paraId="7F399D22">
      <w:pPr>
        <w:autoSpaceDE w:val="0"/>
        <w:autoSpaceDN w:val="0"/>
        <w:adjustRightInd w:val="0"/>
        <w:jc w:val="center"/>
        <w:rPr>
          <w:rFonts w:cs="宋体"/>
          <w:kern w:val="0"/>
          <w:sz w:val="24"/>
        </w:rPr>
      </w:pPr>
      <w:r>
        <w:rPr>
          <w:rFonts w:hint="eastAsia" w:cs="宋体"/>
          <w:kern w:val="0"/>
          <w:sz w:val="24"/>
        </w:rPr>
        <w:t>表4</w:t>
      </w:r>
    </w:p>
    <w:tbl>
      <w:tblPr>
        <w:tblStyle w:val="6"/>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850"/>
        <w:gridCol w:w="851"/>
        <w:gridCol w:w="850"/>
        <w:gridCol w:w="851"/>
        <w:gridCol w:w="2551"/>
        <w:gridCol w:w="2552"/>
      </w:tblGrid>
      <w:tr w14:paraId="36EA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101" w:type="dxa"/>
            <w:vMerge w:val="restart"/>
            <w:vAlign w:val="center"/>
          </w:tcPr>
          <w:p w14:paraId="604E1A5C">
            <w:pPr>
              <w:autoSpaceDE w:val="0"/>
              <w:autoSpaceDN w:val="0"/>
              <w:adjustRightInd w:val="0"/>
              <w:jc w:val="center"/>
              <w:rPr>
                <w:rFonts w:cs="宋体"/>
                <w:kern w:val="0"/>
                <w:sz w:val="24"/>
              </w:rPr>
            </w:pPr>
            <w:r>
              <w:rPr>
                <w:rFonts w:hint="eastAsia" w:cs="宋体"/>
                <w:kern w:val="0"/>
                <w:szCs w:val="21"/>
              </w:rPr>
              <w:t>发送的帧</w:t>
            </w:r>
          </w:p>
        </w:tc>
        <w:tc>
          <w:tcPr>
            <w:tcW w:w="1701" w:type="dxa"/>
            <w:gridSpan w:val="2"/>
            <w:vAlign w:val="center"/>
          </w:tcPr>
          <w:p w14:paraId="2F5622C0">
            <w:pPr>
              <w:autoSpaceDE w:val="0"/>
              <w:autoSpaceDN w:val="0"/>
              <w:adjustRightInd w:val="0"/>
              <w:jc w:val="center"/>
              <w:rPr>
                <w:rFonts w:cs="宋体"/>
                <w:kern w:val="0"/>
                <w:sz w:val="24"/>
              </w:rPr>
            </w:pPr>
            <w:r>
              <w:rPr>
                <w:rFonts w:hint="eastAsia" w:cs="宋体"/>
                <w:kern w:val="0"/>
                <w:szCs w:val="21"/>
              </w:rPr>
              <w:t>B1的转发表</w:t>
            </w:r>
          </w:p>
        </w:tc>
        <w:tc>
          <w:tcPr>
            <w:tcW w:w="1701" w:type="dxa"/>
            <w:gridSpan w:val="2"/>
            <w:vAlign w:val="center"/>
          </w:tcPr>
          <w:p w14:paraId="167FE5BC">
            <w:pPr>
              <w:autoSpaceDE w:val="0"/>
              <w:autoSpaceDN w:val="0"/>
              <w:adjustRightInd w:val="0"/>
              <w:jc w:val="center"/>
              <w:rPr>
                <w:rFonts w:cs="宋体"/>
                <w:kern w:val="0"/>
                <w:sz w:val="24"/>
              </w:rPr>
            </w:pPr>
            <w:r>
              <w:rPr>
                <w:rFonts w:hint="eastAsia" w:cs="宋体"/>
                <w:kern w:val="0"/>
                <w:szCs w:val="21"/>
              </w:rPr>
              <w:t>B2的转发表</w:t>
            </w:r>
          </w:p>
        </w:tc>
        <w:tc>
          <w:tcPr>
            <w:tcW w:w="2551" w:type="dxa"/>
            <w:vMerge w:val="restart"/>
            <w:vAlign w:val="center"/>
          </w:tcPr>
          <w:p w14:paraId="439D29CC">
            <w:pPr>
              <w:autoSpaceDE w:val="0"/>
              <w:autoSpaceDN w:val="0"/>
              <w:adjustRightInd w:val="0"/>
              <w:spacing w:line="360" w:lineRule="auto"/>
              <w:jc w:val="center"/>
              <w:rPr>
                <w:rFonts w:cs="宋体"/>
                <w:kern w:val="0"/>
                <w:szCs w:val="21"/>
              </w:rPr>
            </w:pPr>
            <w:r>
              <w:rPr>
                <w:rFonts w:hint="eastAsia" w:cs="宋体"/>
                <w:kern w:val="0"/>
                <w:szCs w:val="21"/>
              </w:rPr>
              <w:t>B1的处理</w:t>
            </w:r>
          </w:p>
          <w:p w14:paraId="7F596267">
            <w:pPr>
              <w:autoSpaceDE w:val="0"/>
              <w:autoSpaceDN w:val="0"/>
              <w:adjustRightInd w:val="0"/>
              <w:rPr>
                <w:rFonts w:cs="宋体"/>
                <w:kern w:val="0"/>
                <w:sz w:val="24"/>
              </w:rPr>
            </w:pPr>
            <w:r>
              <w:rPr>
                <w:rFonts w:hint="eastAsia" w:cs="宋体"/>
                <w:kern w:val="0"/>
                <w:szCs w:val="21"/>
              </w:rPr>
              <w:t>（转发？丢弃？登记？）</w:t>
            </w:r>
          </w:p>
        </w:tc>
        <w:tc>
          <w:tcPr>
            <w:tcW w:w="2552" w:type="dxa"/>
            <w:vMerge w:val="restart"/>
            <w:vAlign w:val="center"/>
          </w:tcPr>
          <w:p w14:paraId="23210DD1">
            <w:pPr>
              <w:autoSpaceDE w:val="0"/>
              <w:autoSpaceDN w:val="0"/>
              <w:adjustRightInd w:val="0"/>
              <w:spacing w:line="360" w:lineRule="auto"/>
              <w:jc w:val="center"/>
              <w:rPr>
                <w:rFonts w:cs="宋体"/>
                <w:kern w:val="0"/>
                <w:szCs w:val="21"/>
              </w:rPr>
            </w:pPr>
            <w:r>
              <w:rPr>
                <w:rFonts w:hint="eastAsia" w:cs="宋体"/>
                <w:kern w:val="0"/>
                <w:szCs w:val="21"/>
              </w:rPr>
              <w:t>B2的处理</w:t>
            </w:r>
          </w:p>
          <w:p w14:paraId="461BE344">
            <w:pPr>
              <w:autoSpaceDE w:val="0"/>
              <w:autoSpaceDN w:val="0"/>
              <w:adjustRightInd w:val="0"/>
              <w:rPr>
                <w:rFonts w:cs="宋体"/>
                <w:kern w:val="0"/>
                <w:sz w:val="24"/>
              </w:rPr>
            </w:pPr>
            <w:r>
              <w:rPr>
                <w:rFonts w:hint="eastAsia" w:cs="宋体"/>
                <w:kern w:val="0"/>
                <w:szCs w:val="21"/>
              </w:rPr>
              <w:t>（转发？丢弃？登记？）</w:t>
            </w:r>
          </w:p>
        </w:tc>
      </w:tr>
      <w:tr w14:paraId="41BE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tcPr>
          <w:p w14:paraId="5E5B98F3">
            <w:pPr>
              <w:autoSpaceDE w:val="0"/>
              <w:autoSpaceDN w:val="0"/>
              <w:adjustRightInd w:val="0"/>
              <w:jc w:val="center"/>
              <w:rPr>
                <w:rFonts w:cs="宋体"/>
                <w:kern w:val="0"/>
                <w:sz w:val="24"/>
              </w:rPr>
            </w:pPr>
          </w:p>
        </w:tc>
        <w:tc>
          <w:tcPr>
            <w:tcW w:w="850" w:type="dxa"/>
            <w:vAlign w:val="center"/>
          </w:tcPr>
          <w:p w14:paraId="7B078F5F">
            <w:pPr>
              <w:autoSpaceDE w:val="0"/>
              <w:autoSpaceDN w:val="0"/>
              <w:adjustRightInd w:val="0"/>
              <w:jc w:val="center"/>
              <w:rPr>
                <w:rFonts w:cs="宋体"/>
                <w:kern w:val="0"/>
                <w:sz w:val="24"/>
              </w:rPr>
            </w:pPr>
            <w:r>
              <w:rPr>
                <w:rFonts w:hint="eastAsia" w:cs="宋体"/>
                <w:kern w:val="0"/>
                <w:szCs w:val="21"/>
              </w:rPr>
              <w:t>地址</w:t>
            </w:r>
          </w:p>
        </w:tc>
        <w:tc>
          <w:tcPr>
            <w:tcW w:w="851" w:type="dxa"/>
            <w:vAlign w:val="center"/>
          </w:tcPr>
          <w:p w14:paraId="6C141B55">
            <w:pPr>
              <w:autoSpaceDE w:val="0"/>
              <w:autoSpaceDN w:val="0"/>
              <w:adjustRightInd w:val="0"/>
              <w:jc w:val="center"/>
              <w:rPr>
                <w:rFonts w:cs="宋体"/>
                <w:kern w:val="0"/>
                <w:sz w:val="24"/>
              </w:rPr>
            </w:pPr>
            <w:r>
              <w:rPr>
                <w:rFonts w:hint="eastAsia" w:cs="宋体"/>
                <w:kern w:val="0"/>
                <w:szCs w:val="21"/>
              </w:rPr>
              <w:t>出口</w:t>
            </w:r>
          </w:p>
        </w:tc>
        <w:tc>
          <w:tcPr>
            <w:tcW w:w="850" w:type="dxa"/>
            <w:vAlign w:val="center"/>
          </w:tcPr>
          <w:p w14:paraId="5A697467">
            <w:pPr>
              <w:autoSpaceDE w:val="0"/>
              <w:autoSpaceDN w:val="0"/>
              <w:adjustRightInd w:val="0"/>
              <w:jc w:val="center"/>
              <w:rPr>
                <w:rFonts w:cs="宋体"/>
                <w:kern w:val="0"/>
                <w:sz w:val="24"/>
              </w:rPr>
            </w:pPr>
            <w:r>
              <w:rPr>
                <w:rFonts w:hint="eastAsia" w:cs="宋体"/>
                <w:kern w:val="0"/>
                <w:szCs w:val="21"/>
              </w:rPr>
              <w:t>地址</w:t>
            </w:r>
          </w:p>
        </w:tc>
        <w:tc>
          <w:tcPr>
            <w:tcW w:w="851" w:type="dxa"/>
            <w:vAlign w:val="center"/>
          </w:tcPr>
          <w:p w14:paraId="1AA37C3F">
            <w:pPr>
              <w:autoSpaceDE w:val="0"/>
              <w:autoSpaceDN w:val="0"/>
              <w:adjustRightInd w:val="0"/>
              <w:jc w:val="center"/>
              <w:rPr>
                <w:rFonts w:cs="宋体"/>
                <w:kern w:val="0"/>
                <w:sz w:val="24"/>
              </w:rPr>
            </w:pPr>
            <w:r>
              <w:rPr>
                <w:rFonts w:hint="eastAsia" w:cs="宋体"/>
                <w:kern w:val="0"/>
                <w:szCs w:val="21"/>
              </w:rPr>
              <w:t>出口</w:t>
            </w:r>
          </w:p>
        </w:tc>
        <w:tc>
          <w:tcPr>
            <w:tcW w:w="2551" w:type="dxa"/>
            <w:vMerge w:val="continue"/>
            <w:vAlign w:val="center"/>
          </w:tcPr>
          <w:p w14:paraId="0CE234C9">
            <w:pPr>
              <w:autoSpaceDE w:val="0"/>
              <w:autoSpaceDN w:val="0"/>
              <w:adjustRightInd w:val="0"/>
              <w:rPr>
                <w:rFonts w:cs="宋体"/>
                <w:kern w:val="0"/>
                <w:sz w:val="24"/>
              </w:rPr>
            </w:pPr>
          </w:p>
        </w:tc>
        <w:tc>
          <w:tcPr>
            <w:tcW w:w="2552" w:type="dxa"/>
            <w:vMerge w:val="continue"/>
            <w:vAlign w:val="center"/>
          </w:tcPr>
          <w:p w14:paraId="5D0FC9D3">
            <w:pPr>
              <w:autoSpaceDE w:val="0"/>
              <w:autoSpaceDN w:val="0"/>
              <w:adjustRightInd w:val="0"/>
              <w:rPr>
                <w:rFonts w:cs="宋体"/>
                <w:kern w:val="0"/>
                <w:sz w:val="24"/>
              </w:rPr>
            </w:pPr>
          </w:p>
        </w:tc>
      </w:tr>
      <w:tr w14:paraId="145E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479E5161">
            <w:pPr>
              <w:autoSpaceDE w:val="0"/>
              <w:autoSpaceDN w:val="0"/>
              <w:adjustRightInd w:val="0"/>
              <w:rPr>
                <w:rFonts w:cs="宋体"/>
                <w:kern w:val="0"/>
                <w:sz w:val="24"/>
              </w:rPr>
            </w:pPr>
            <w:r>
              <w:rPr>
                <w:rFonts w:hint="eastAsia" w:cs="宋体"/>
                <w:kern w:val="0"/>
                <w:szCs w:val="21"/>
              </w:rPr>
              <w:t>A</w:t>
            </w:r>
            <w:r>
              <w:rPr>
                <w:rFonts w:cs="宋体"/>
                <w:kern w:val="0"/>
                <w:sz w:val="24"/>
              </w:rPr>
              <w:sym w:font="Wingdings" w:char="F0E0"/>
            </w:r>
            <w:r>
              <w:rPr>
                <w:rFonts w:hint="eastAsia" w:cs="宋体"/>
                <w:kern w:val="0"/>
                <w:szCs w:val="21"/>
              </w:rPr>
              <w:t>B</w:t>
            </w:r>
          </w:p>
        </w:tc>
        <w:tc>
          <w:tcPr>
            <w:tcW w:w="850" w:type="dxa"/>
          </w:tcPr>
          <w:p w14:paraId="1FA4D866">
            <w:pPr>
              <w:autoSpaceDE w:val="0"/>
              <w:autoSpaceDN w:val="0"/>
              <w:adjustRightInd w:val="0"/>
              <w:rPr>
                <w:rFonts w:cs="宋体"/>
                <w:kern w:val="0"/>
                <w:sz w:val="24"/>
              </w:rPr>
            </w:pPr>
          </w:p>
        </w:tc>
        <w:tc>
          <w:tcPr>
            <w:tcW w:w="851" w:type="dxa"/>
          </w:tcPr>
          <w:p w14:paraId="120E7296">
            <w:pPr>
              <w:autoSpaceDE w:val="0"/>
              <w:autoSpaceDN w:val="0"/>
              <w:adjustRightInd w:val="0"/>
              <w:rPr>
                <w:rFonts w:cs="宋体"/>
                <w:kern w:val="0"/>
                <w:sz w:val="24"/>
              </w:rPr>
            </w:pPr>
          </w:p>
        </w:tc>
        <w:tc>
          <w:tcPr>
            <w:tcW w:w="850" w:type="dxa"/>
          </w:tcPr>
          <w:p w14:paraId="4F4E9A71">
            <w:pPr>
              <w:autoSpaceDE w:val="0"/>
              <w:autoSpaceDN w:val="0"/>
              <w:adjustRightInd w:val="0"/>
              <w:rPr>
                <w:rFonts w:cs="宋体"/>
                <w:kern w:val="0"/>
                <w:sz w:val="24"/>
              </w:rPr>
            </w:pPr>
          </w:p>
        </w:tc>
        <w:tc>
          <w:tcPr>
            <w:tcW w:w="851" w:type="dxa"/>
          </w:tcPr>
          <w:p w14:paraId="1587B280">
            <w:pPr>
              <w:autoSpaceDE w:val="0"/>
              <w:autoSpaceDN w:val="0"/>
              <w:adjustRightInd w:val="0"/>
              <w:rPr>
                <w:rFonts w:cs="宋体"/>
                <w:kern w:val="0"/>
                <w:sz w:val="24"/>
              </w:rPr>
            </w:pPr>
          </w:p>
        </w:tc>
        <w:tc>
          <w:tcPr>
            <w:tcW w:w="2551" w:type="dxa"/>
          </w:tcPr>
          <w:p w14:paraId="11D79CFD">
            <w:pPr>
              <w:autoSpaceDE w:val="0"/>
              <w:autoSpaceDN w:val="0"/>
              <w:adjustRightInd w:val="0"/>
              <w:rPr>
                <w:rFonts w:cs="宋体"/>
                <w:kern w:val="0"/>
                <w:sz w:val="24"/>
              </w:rPr>
            </w:pPr>
          </w:p>
        </w:tc>
        <w:tc>
          <w:tcPr>
            <w:tcW w:w="2552" w:type="dxa"/>
          </w:tcPr>
          <w:p w14:paraId="17AE4A23">
            <w:pPr>
              <w:autoSpaceDE w:val="0"/>
              <w:autoSpaceDN w:val="0"/>
              <w:adjustRightInd w:val="0"/>
              <w:rPr>
                <w:rFonts w:cs="宋体"/>
                <w:kern w:val="0"/>
                <w:sz w:val="24"/>
              </w:rPr>
            </w:pPr>
          </w:p>
        </w:tc>
      </w:tr>
      <w:tr w14:paraId="5CE1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18776583">
            <w:pPr>
              <w:autoSpaceDE w:val="0"/>
              <w:autoSpaceDN w:val="0"/>
              <w:adjustRightInd w:val="0"/>
              <w:rPr>
                <w:rFonts w:cs="宋体"/>
                <w:kern w:val="0"/>
                <w:sz w:val="24"/>
              </w:rPr>
            </w:pPr>
            <w:r>
              <w:rPr>
                <w:rFonts w:hint="eastAsia" w:cs="宋体"/>
                <w:kern w:val="0"/>
                <w:szCs w:val="21"/>
              </w:rPr>
              <w:t>C</w:t>
            </w:r>
            <w:r>
              <w:rPr>
                <w:rFonts w:cs="宋体"/>
                <w:kern w:val="0"/>
                <w:sz w:val="24"/>
              </w:rPr>
              <w:sym w:font="Wingdings" w:char="F0E0"/>
            </w:r>
            <w:r>
              <w:rPr>
                <w:rFonts w:hint="eastAsia" w:cs="宋体"/>
                <w:kern w:val="0"/>
                <w:szCs w:val="21"/>
              </w:rPr>
              <w:t>A</w:t>
            </w:r>
          </w:p>
        </w:tc>
        <w:tc>
          <w:tcPr>
            <w:tcW w:w="850" w:type="dxa"/>
          </w:tcPr>
          <w:p w14:paraId="377E2490">
            <w:pPr>
              <w:autoSpaceDE w:val="0"/>
              <w:autoSpaceDN w:val="0"/>
              <w:adjustRightInd w:val="0"/>
              <w:rPr>
                <w:rFonts w:cs="宋体"/>
                <w:kern w:val="0"/>
                <w:sz w:val="24"/>
              </w:rPr>
            </w:pPr>
          </w:p>
        </w:tc>
        <w:tc>
          <w:tcPr>
            <w:tcW w:w="851" w:type="dxa"/>
          </w:tcPr>
          <w:p w14:paraId="7D4D7735">
            <w:pPr>
              <w:autoSpaceDE w:val="0"/>
              <w:autoSpaceDN w:val="0"/>
              <w:adjustRightInd w:val="0"/>
              <w:rPr>
                <w:rFonts w:cs="宋体"/>
                <w:kern w:val="0"/>
                <w:sz w:val="24"/>
              </w:rPr>
            </w:pPr>
          </w:p>
        </w:tc>
        <w:tc>
          <w:tcPr>
            <w:tcW w:w="850" w:type="dxa"/>
          </w:tcPr>
          <w:p w14:paraId="1FE336B9">
            <w:pPr>
              <w:autoSpaceDE w:val="0"/>
              <w:autoSpaceDN w:val="0"/>
              <w:adjustRightInd w:val="0"/>
              <w:rPr>
                <w:rFonts w:cs="宋体"/>
                <w:kern w:val="0"/>
                <w:sz w:val="24"/>
              </w:rPr>
            </w:pPr>
          </w:p>
        </w:tc>
        <w:tc>
          <w:tcPr>
            <w:tcW w:w="851" w:type="dxa"/>
          </w:tcPr>
          <w:p w14:paraId="6AB72475">
            <w:pPr>
              <w:autoSpaceDE w:val="0"/>
              <w:autoSpaceDN w:val="0"/>
              <w:adjustRightInd w:val="0"/>
              <w:rPr>
                <w:rFonts w:cs="宋体"/>
                <w:kern w:val="0"/>
                <w:sz w:val="24"/>
              </w:rPr>
            </w:pPr>
          </w:p>
        </w:tc>
        <w:tc>
          <w:tcPr>
            <w:tcW w:w="2551" w:type="dxa"/>
          </w:tcPr>
          <w:p w14:paraId="0EFE80C3">
            <w:pPr>
              <w:autoSpaceDE w:val="0"/>
              <w:autoSpaceDN w:val="0"/>
              <w:adjustRightInd w:val="0"/>
              <w:rPr>
                <w:rFonts w:cs="宋体"/>
                <w:kern w:val="0"/>
                <w:sz w:val="24"/>
              </w:rPr>
            </w:pPr>
          </w:p>
        </w:tc>
        <w:tc>
          <w:tcPr>
            <w:tcW w:w="2552" w:type="dxa"/>
          </w:tcPr>
          <w:p w14:paraId="549E6DAA">
            <w:pPr>
              <w:autoSpaceDE w:val="0"/>
              <w:autoSpaceDN w:val="0"/>
              <w:adjustRightInd w:val="0"/>
              <w:rPr>
                <w:rFonts w:cs="宋体"/>
                <w:kern w:val="0"/>
                <w:sz w:val="24"/>
              </w:rPr>
            </w:pPr>
          </w:p>
        </w:tc>
      </w:tr>
      <w:tr w14:paraId="0278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6291D780">
            <w:pPr>
              <w:autoSpaceDE w:val="0"/>
              <w:autoSpaceDN w:val="0"/>
              <w:adjustRightInd w:val="0"/>
              <w:rPr>
                <w:rFonts w:cs="宋体"/>
                <w:kern w:val="0"/>
                <w:sz w:val="24"/>
              </w:rPr>
            </w:pPr>
            <w:r>
              <w:rPr>
                <w:rFonts w:hint="eastAsia" w:cs="宋体"/>
                <w:kern w:val="0"/>
                <w:szCs w:val="21"/>
              </w:rPr>
              <w:t>D</w:t>
            </w:r>
            <w:r>
              <w:rPr>
                <w:rFonts w:cs="宋体"/>
                <w:kern w:val="0"/>
                <w:sz w:val="24"/>
              </w:rPr>
              <w:sym w:font="Wingdings" w:char="F0E0"/>
            </w:r>
            <w:r>
              <w:rPr>
                <w:rFonts w:hint="eastAsia" w:cs="宋体"/>
                <w:kern w:val="0"/>
                <w:szCs w:val="21"/>
              </w:rPr>
              <w:t>C</w:t>
            </w:r>
          </w:p>
        </w:tc>
        <w:tc>
          <w:tcPr>
            <w:tcW w:w="850" w:type="dxa"/>
          </w:tcPr>
          <w:p w14:paraId="100544D6">
            <w:pPr>
              <w:autoSpaceDE w:val="0"/>
              <w:autoSpaceDN w:val="0"/>
              <w:adjustRightInd w:val="0"/>
              <w:rPr>
                <w:rFonts w:cs="宋体"/>
                <w:kern w:val="0"/>
                <w:sz w:val="24"/>
              </w:rPr>
            </w:pPr>
          </w:p>
        </w:tc>
        <w:tc>
          <w:tcPr>
            <w:tcW w:w="851" w:type="dxa"/>
          </w:tcPr>
          <w:p w14:paraId="352E7878">
            <w:pPr>
              <w:autoSpaceDE w:val="0"/>
              <w:autoSpaceDN w:val="0"/>
              <w:adjustRightInd w:val="0"/>
              <w:rPr>
                <w:rFonts w:cs="宋体"/>
                <w:kern w:val="0"/>
                <w:sz w:val="24"/>
              </w:rPr>
            </w:pPr>
          </w:p>
        </w:tc>
        <w:tc>
          <w:tcPr>
            <w:tcW w:w="850" w:type="dxa"/>
          </w:tcPr>
          <w:p w14:paraId="52D06C4F">
            <w:pPr>
              <w:autoSpaceDE w:val="0"/>
              <w:autoSpaceDN w:val="0"/>
              <w:adjustRightInd w:val="0"/>
              <w:rPr>
                <w:rFonts w:cs="宋体"/>
                <w:kern w:val="0"/>
                <w:sz w:val="24"/>
              </w:rPr>
            </w:pPr>
          </w:p>
        </w:tc>
        <w:tc>
          <w:tcPr>
            <w:tcW w:w="851" w:type="dxa"/>
          </w:tcPr>
          <w:p w14:paraId="20D7EEF0">
            <w:pPr>
              <w:autoSpaceDE w:val="0"/>
              <w:autoSpaceDN w:val="0"/>
              <w:adjustRightInd w:val="0"/>
              <w:rPr>
                <w:rFonts w:cs="宋体"/>
                <w:kern w:val="0"/>
                <w:sz w:val="24"/>
              </w:rPr>
            </w:pPr>
          </w:p>
        </w:tc>
        <w:tc>
          <w:tcPr>
            <w:tcW w:w="2551" w:type="dxa"/>
          </w:tcPr>
          <w:p w14:paraId="16F637AB">
            <w:pPr>
              <w:autoSpaceDE w:val="0"/>
              <w:autoSpaceDN w:val="0"/>
              <w:adjustRightInd w:val="0"/>
              <w:rPr>
                <w:rFonts w:cs="宋体"/>
                <w:kern w:val="0"/>
                <w:sz w:val="24"/>
              </w:rPr>
            </w:pPr>
          </w:p>
        </w:tc>
        <w:tc>
          <w:tcPr>
            <w:tcW w:w="2552" w:type="dxa"/>
          </w:tcPr>
          <w:p w14:paraId="7EC263B9">
            <w:pPr>
              <w:autoSpaceDE w:val="0"/>
              <w:autoSpaceDN w:val="0"/>
              <w:adjustRightInd w:val="0"/>
              <w:rPr>
                <w:rFonts w:cs="宋体"/>
                <w:kern w:val="0"/>
                <w:sz w:val="24"/>
              </w:rPr>
            </w:pPr>
          </w:p>
        </w:tc>
      </w:tr>
      <w:tr w14:paraId="5F6D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14:paraId="6B22DD2B">
            <w:pPr>
              <w:autoSpaceDE w:val="0"/>
              <w:autoSpaceDN w:val="0"/>
              <w:adjustRightInd w:val="0"/>
              <w:rPr>
                <w:rFonts w:cs="宋体"/>
                <w:kern w:val="0"/>
                <w:sz w:val="24"/>
              </w:rPr>
            </w:pPr>
            <w:r>
              <w:rPr>
                <w:rFonts w:hint="eastAsia" w:cs="宋体"/>
                <w:kern w:val="0"/>
                <w:szCs w:val="21"/>
              </w:rPr>
              <w:t>B</w:t>
            </w:r>
            <w:r>
              <w:rPr>
                <w:rFonts w:cs="宋体"/>
                <w:kern w:val="0"/>
                <w:sz w:val="24"/>
              </w:rPr>
              <w:sym w:font="Wingdings" w:char="F0E0"/>
            </w:r>
            <w:r>
              <w:rPr>
                <w:rFonts w:hint="eastAsia" w:cs="宋体"/>
                <w:kern w:val="0"/>
                <w:szCs w:val="21"/>
              </w:rPr>
              <w:t>C</w:t>
            </w:r>
          </w:p>
        </w:tc>
        <w:tc>
          <w:tcPr>
            <w:tcW w:w="850" w:type="dxa"/>
          </w:tcPr>
          <w:p w14:paraId="338BA5C6">
            <w:pPr>
              <w:autoSpaceDE w:val="0"/>
              <w:autoSpaceDN w:val="0"/>
              <w:adjustRightInd w:val="0"/>
              <w:rPr>
                <w:rFonts w:cs="宋体"/>
                <w:kern w:val="0"/>
                <w:sz w:val="24"/>
              </w:rPr>
            </w:pPr>
          </w:p>
        </w:tc>
        <w:tc>
          <w:tcPr>
            <w:tcW w:w="851" w:type="dxa"/>
          </w:tcPr>
          <w:p w14:paraId="0F635DBF">
            <w:pPr>
              <w:autoSpaceDE w:val="0"/>
              <w:autoSpaceDN w:val="0"/>
              <w:adjustRightInd w:val="0"/>
              <w:rPr>
                <w:rFonts w:cs="宋体"/>
                <w:kern w:val="0"/>
                <w:sz w:val="24"/>
              </w:rPr>
            </w:pPr>
          </w:p>
        </w:tc>
        <w:tc>
          <w:tcPr>
            <w:tcW w:w="850" w:type="dxa"/>
          </w:tcPr>
          <w:p w14:paraId="7210206E">
            <w:pPr>
              <w:autoSpaceDE w:val="0"/>
              <w:autoSpaceDN w:val="0"/>
              <w:adjustRightInd w:val="0"/>
              <w:rPr>
                <w:rFonts w:cs="宋体"/>
                <w:kern w:val="0"/>
                <w:sz w:val="24"/>
              </w:rPr>
            </w:pPr>
          </w:p>
        </w:tc>
        <w:tc>
          <w:tcPr>
            <w:tcW w:w="851" w:type="dxa"/>
          </w:tcPr>
          <w:p w14:paraId="6FB91711">
            <w:pPr>
              <w:autoSpaceDE w:val="0"/>
              <w:autoSpaceDN w:val="0"/>
              <w:adjustRightInd w:val="0"/>
              <w:rPr>
                <w:rFonts w:cs="宋体"/>
                <w:kern w:val="0"/>
                <w:sz w:val="24"/>
              </w:rPr>
            </w:pPr>
          </w:p>
        </w:tc>
        <w:tc>
          <w:tcPr>
            <w:tcW w:w="2551" w:type="dxa"/>
          </w:tcPr>
          <w:p w14:paraId="2AB6D1CD">
            <w:pPr>
              <w:autoSpaceDE w:val="0"/>
              <w:autoSpaceDN w:val="0"/>
              <w:adjustRightInd w:val="0"/>
              <w:rPr>
                <w:rFonts w:cs="宋体"/>
                <w:kern w:val="0"/>
                <w:sz w:val="24"/>
              </w:rPr>
            </w:pPr>
          </w:p>
        </w:tc>
        <w:tc>
          <w:tcPr>
            <w:tcW w:w="2552" w:type="dxa"/>
          </w:tcPr>
          <w:p w14:paraId="429B6B3B">
            <w:pPr>
              <w:autoSpaceDE w:val="0"/>
              <w:autoSpaceDN w:val="0"/>
              <w:adjustRightInd w:val="0"/>
              <w:rPr>
                <w:rFonts w:cs="宋体"/>
                <w:kern w:val="0"/>
                <w:sz w:val="24"/>
              </w:rPr>
            </w:pPr>
          </w:p>
        </w:tc>
      </w:tr>
    </w:tbl>
    <w:p w14:paraId="09E2B7FE">
      <w:pPr>
        <w:autoSpaceDE w:val="0"/>
        <w:autoSpaceDN w:val="0"/>
        <w:adjustRightInd w:val="0"/>
        <w:ind w:firstLine="3600" w:firstLineChars="1500"/>
        <w:rPr>
          <w:rFonts w:cs="宋体"/>
          <w:kern w:val="0"/>
          <w:sz w:val="24"/>
        </w:rPr>
      </w:pPr>
    </w:p>
    <w:p w14:paraId="59B941D2">
      <w:pPr>
        <w:autoSpaceDE w:val="0"/>
        <w:autoSpaceDN w:val="0"/>
        <w:adjustRightInd w:val="0"/>
        <w:jc w:val="left"/>
        <w:rPr>
          <w:rFonts w:cs="宋体"/>
          <w:kern w:val="0"/>
          <w:sz w:val="24"/>
        </w:rPr>
      </w:pPr>
      <w:r>
        <w:rPr>
          <w:rFonts w:hint="eastAsia"/>
          <w:b/>
          <w:bCs/>
          <w:color w:val="0000FF"/>
          <w:sz w:val="24"/>
        </w:rPr>
        <w:t>(注：以上试卷样式仅供参考，在特殊情况下，试卷题型、各题分值比例可能略有变动，最终以卷面题型及实际分值为准！）</w:t>
      </w:r>
    </w:p>
    <w:p w14:paraId="331EF81F">
      <w:pPr>
        <w:rPr>
          <w:sz w:val="24"/>
        </w:rPr>
      </w:pPr>
    </w:p>
    <w:sectPr>
      <w:headerReference r:id="rId3" w:type="default"/>
      <w:footerReference r:id="rId4" w:type="default"/>
      <w:footerReference r:id="rId5" w:type="even"/>
      <w:pgSz w:w="11906" w:h="16838"/>
      <w:pgMar w:top="1418" w:right="102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SimSun-Identity-H">
    <w:altName w:val="黑体"/>
    <w:panose1 w:val="00000000000000000000"/>
    <w:charset w:val="86"/>
    <w:family w:val="auto"/>
    <w:pitch w:val="default"/>
    <w:sig w:usb0="00000000" w:usb1="00000000" w:usb2="00000010" w:usb3="00000000" w:csb0="0004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7B4F">
    <w:pPr>
      <w:pStyle w:val="3"/>
      <w:ind w:right="360"/>
    </w:pPr>
    <w:r>
      <w:rPr>
        <w:rFonts w:hint="eastAsia"/>
      </w:rPr>
      <w:tab/>
    </w:r>
    <w:r>
      <w:rPr>
        <w:rFonts w:hint="eastAsia"/>
      </w:rPr>
      <w:t xml:space="preserve">第 </w:t>
    </w:r>
    <w:r>
      <w:fldChar w:fldCharType="begin"/>
    </w:r>
    <w:r>
      <w:instrText xml:space="preserve">PAGE   \* MERGEFORMAT</w:instrText>
    </w:r>
    <w:r>
      <w:fldChar w:fldCharType="separate"/>
    </w:r>
    <w:r>
      <w:rPr>
        <w:lang w:val="zh-CN"/>
      </w:rPr>
      <w:t>1</w:t>
    </w:r>
    <w:r>
      <w:fldChar w:fldCharType="end"/>
    </w:r>
    <w:r>
      <w:rPr>
        <w:rFonts w:hint="eastAsia"/>
      </w:rPr>
      <w:t xml:space="preserve"> 页 共</w:t>
    </w:r>
    <w:r>
      <w:t xml:space="preserve"> </w:t>
    </w:r>
    <w:r>
      <w:fldChar w:fldCharType="begin"/>
    </w:r>
    <w:r>
      <w:instrText xml:space="preserve"> NUMPAGES </w:instrText>
    </w:r>
    <w:r>
      <w:fldChar w:fldCharType="separate"/>
    </w:r>
    <w:r>
      <w:t>7</w:t>
    </w:r>
    <w:r>
      <w:fldChar w:fldCharType="end"/>
    </w:r>
    <w:r>
      <w:rPr>
        <w:rFonts w:hint="eastAsia"/>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B6B84">
    <w:pPr>
      <w:pStyle w:val="3"/>
      <w:framePr w:wrap="around" w:vAnchor="text" w:hAnchor="margin" w:xAlign="center" w:y="1"/>
      <w:rPr>
        <w:rStyle w:val="9"/>
      </w:rPr>
    </w:pPr>
    <w:r>
      <w:fldChar w:fldCharType="begin"/>
    </w:r>
    <w:r>
      <w:rPr>
        <w:rStyle w:val="9"/>
      </w:rPr>
      <w:instrText xml:space="preserve">PAGE  </w:instrText>
    </w:r>
    <w:r>
      <w:fldChar w:fldCharType="end"/>
    </w:r>
  </w:p>
  <w:p w14:paraId="3158A44F">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0FF06">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B73BF"/>
    <w:multiLevelType w:val="multilevel"/>
    <w:tmpl w:val="55DB73BF"/>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1">
    <w:nsid w:val="61571A1C"/>
    <w:multiLevelType w:val="multilevel"/>
    <w:tmpl w:val="61571A1C"/>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628D7CDB"/>
    <w:multiLevelType w:val="multilevel"/>
    <w:tmpl w:val="628D7CDB"/>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3">
    <w:nsid w:val="75B32524"/>
    <w:multiLevelType w:val="multilevel"/>
    <w:tmpl w:val="75B32524"/>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0C5"/>
    <w:rsid w:val="0000293B"/>
    <w:rsid w:val="00014A32"/>
    <w:rsid w:val="0003579B"/>
    <w:rsid w:val="000A1A85"/>
    <w:rsid w:val="000F25D3"/>
    <w:rsid w:val="000F32D2"/>
    <w:rsid w:val="00102FBD"/>
    <w:rsid w:val="00103D3B"/>
    <w:rsid w:val="00106E8C"/>
    <w:rsid w:val="00131F19"/>
    <w:rsid w:val="0015052B"/>
    <w:rsid w:val="001542E0"/>
    <w:rsid w:val="00165067"/>
    <w:rsid w:val="00167F3A"/>
    <w:rsid w:val="00170475"/>
    <w:rsid w:val="0017270A"/>
    <w:rsid w:val="00180EA0"/>
    <w:rsid w:val="0019691E"/>
    <w:rsid w:val="001A715C"/>
    <w:rsid w:val="001A7501"/>
    <w:rsid w:val="001C4D76"/>
    <w:rsid w:val="00253F26"/>
    <w:rsid w:val="0028600E"/>
    <w:rsid w:val="00297871"/>
    <w:rsid w:val="002C614F"/>
    <w:rsid w:val="002D35B2"/>
    <w:rsid w:val="002E5974"/>
    <w:rsid w:val="002F6A73"/>
    <w:rsid w:val="003049F8"/>
    <w:rsid w:val="003240C0"/>
    <w:rsid w:val="00335B41"/>
    <w:rsid w:val="00336388"/>
    <w:rsid w:val="00356BCA"/>
    <w:rsid w:val="003660D4"/>
    <w:rsid w:val="003709FA"/>
    <w:rsid w:val="003E0036"/>
    <w:rsid w:val="003F0FF6"/>
    <w:rsid w:val="003F1A5C"/>
    <w:rsid w:val="003F228A"/>
    <w:rsid w:val="003F48F1"/>
    <w:rsid w:val="004146CD"/>
    <w:rsid w:val="00426BD6"/>
    <w:rsid w:val="00427B15"/>
    <w:rsid w:val="00490FC1"/>
    <w:rsid w:val="004B1829"/>
    <w:rsid w:val="004E70EA"/>
    <w:rsid w:val="005200AF"/>
    <w:rsid w:val="00522BB8"/>
    <w:rsid w:val="00524036"/>
    <w:rsid w:val="00573086"/>
    <w:rsid w:val="00597592"/>
    <w:rsid w:val="005B3508"/>
    <w:rsid w:val="005E311D"/>
    <w:rsid w:val="00604FC2"/>
    <w:rsid w:val="006075F1"/>
    <w:rsid w:val="00607EC0"/>
    <w:rsid w:val="0062324D"/>
    <w:rsid w:val="0066123F"/>
    <w:rsid w:val="006642ED"/>
    <w:rsid w:val="00687942"/>
    <w:rsid w:val="006905A7"/>
    <w:rsid w:val="006B1760"/>
    <w:rsid w:val="006C05C0"/>
    <w:rsid w:val="006C3AA2"/>
    <w:rsid w:val="006D2185"/>
    <w:rsid w:val="006F5101"/>
    <w:rsid w:val="007069AC"/>
    <w:rsid w:val="00742F4A"/>
    <w:rsid w:val="00766452"/>
    <w:rsid w:val="00777D78"/>
    <w:rsid w:val="007958C2"/>
    <w:rsid w:val="007C6586"/>
    <w:rsid w:val="007D47E0"/>
    <w:rsid w:val="007E778C"/>
    <w:rsid w:val="007F515A"/>
    <w:rsid w:val="007F627E"/>
    <w:rsid w:val="007F76C9"/>
    <w:rsid w:val="00850004"/>
    <w:rsid w:val="00857D2C"/>
    <w:rsid w:val="008A55AC"/>
    <w:rsid w:val="00932B55"/>
    <w:rsid w:val="00934569"/>
    <w:rsid w:val="0096204E"/>
    <w:rsid w:val="00972BB1"/>
    <w:rsid w:val="00980B74"/>
    <w:rsid w:val="0099034E"/>
    <w:rsid w:val="00995697"/>
    <w:rsid w:val="00A02720"/>
    <w:rsid w:val="00A21C8D"/>
    <w:rsid w:val="00A45C68"/>
    <w:rsid w:val="00A61FDC"/>
    <w:rsid w:val="00A63179"/>
    <w:rsid w:val="00A86809"/>
    <w:rsid w:val="00AA352F"/>
    <w:rsid w:val="00B040C5"/>
    <w:rsid w:val="00B044A6"/>
    <w:rsid w:val="00B549F9"/>
    <w:rsid w:val="00BC1D32"/>
    <w:rsid w:val="00BC77E4"/>
    <w:rsid w:val="00BD43A0"/>
    <w:rsid w:val="00C47299"/>
    <w:rsid w:val="00C969B8"/>
    <w:rsid w:val="00CF30DE"/>
    <w:rsid w:val="00CF74E0"/>
    <w:rsid w:val="00D6276F"/>
    <w:rsid w:val="00D7620A"/>
    <w:rsid w:val="00DB5147"/>
    <w:rsid w:val="00DD548E"/>
    <w:rsid w:val="00E017CA"/>
    <w:rsid w:val="00E321A9"/>
    <w:rsid w:val="00E41535"/>
    <w:rsid w:val="00E500D1"/>
    <w:rsid w:val="00E61FCF"/>
    <w:rsid w:val="00E87B76"/>
    <w:rsid w:val="00EA6007"/>
    <w:rsid w:val="00EC215D"/>
    <w:rsid w:val="00ED66E9"/>
    <w:rsid w:val="00F0769B"/>
    <w:rsid w:val="00F70F96"/>
    <w:rsid w:val="00F82D0B"/>
    <w:rsid w:val="00FA0567"/>
    <w:rsid w:val="00FB7053"/>
    <w:rsid w:val="00FD514D"/>
    <w:rsid w:val="00FE2864"/>
    <w:rsid w:val="00FF5558"/>
    <w:rsid w:val="02570700"/>
    <w:rsid w:val="0C2C3E3A"/>
    <w:rsid w:val="168A3D47"/>
    <w:rsid w:val="2836711E"/>
    <w:rsid w:val="2B7D6785"/>
    <w:rsid w:val="349F5836"/>
    <w:rsid w:val="353807F3"/>
    <w:rsid w:val="4F06443C"/>
    <w:rsid w:val="5A900F23"/>
    <w:rsid w:val="5DED52F0"/>
    <w:rsid w:val="6ACD0B99"/>
    <w:rsid w:val="76373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2"/>
    <w:semiHidden/>
    <w:unhideWhenUsed/>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character" w:styleId="10">
    <w:name w:val="Hyperlink"/>
    <w:qFormat/>
    <w:uiPriority w:val="0"/>
    <w:rPr>
      <w:color w:val="0000FF"/>
      <w:u w:val="single"/>
    </w:rPr>
  </w:style>
  <w:style w:type="character" w:customStyle="1" w:styleId="11">
    <w:name w:val="未处理的提及1"/>
    <w:semiHidden/>
    <w:unhideWhenUsed/>
    <w:qFormat/>
    <w:uiPriority w:val="99"/>
    <w:rPr>
      <w:color w:val="605E5C"/>
      <w:shd w:val="clear" w:color="auto" w:fill="E1DFDD"/>
    </w:rPr>
  </w:style>
  <w:style w:type="character" w:customStyle="1" w:styleId="12">
    <w:name w:val="标题 2 字符"/>
    <w:link w:val="2"/>
    <w:semiHidden/>
    <w:qFormat/>
    <w:uiPriority w:val="0"/>
    <w:rPr>
      <w:rFonts w:ascii="等线 Light" w:hAnsi="等线 Light" w:eastAsia="等线 Light" w:cs="Times New Roman"/>
      <w:b/>
      <w:bCs/>
      <w:kern w:val="2"/>
      <w:sz w:val="32"/>
      <w:szCs w:val="32"/>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cnu</Company>
  <Pages>7</Pages>
  <Words>4141</Words>
  <Characters>5025</Characters>
  <Lines>40</Lines>
  <Paragraphs>11</Paragraphs>
  <TotalTime>0</TotalTime>
  <ScaleCrop>false</ScaleCrop>
  <LinksUpToDate>false</LinksUpToDate>
  <CharactersWithSpaces>5401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2025-01-16T17:11:00Z</dcterms:created>
  <dc:creator>xuyc</dc:creator>
  <cp:lastModifiedBy>Administrator</cp:lastModifiedBy>
  <dcterms:modified xsi:type="dcterms:W3CDTF">2026-08-10T02:32:33Z</dcterms:modified>
  <dc:title>《网络技术基础》教学大纲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F3548AEF7ECA4D2F880599CC7C9C787E</vt:lpwstr>
  </property>
  <property fmtid="{D5CDD505-2E9C-101B-9397-08002B2CF9AE}" pid="4" name="KSOTemplateDocerSaveRecord">
    <vt:lpwstr>eyJoZGlkIjoiZGRmNmUzOWY2ZGRjOTM1ZTliZTdmOTc2NDZmNjhlOGYifQ==</vt:lpwstr>
  </property>
</Properties>
</file>