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rPr>
        <w:t>《</w:t>
      </w:r>
      <w:r>
        <w:rPr>
          <w:rFonts w:hint="eastAsia" w:ascii="黑体" w:eastAsia="黑体"/>
          <w:b/>
          <w:bCs/>
          <w:color w:val="333333"/>
          <w:lang w:val="en-US" w:eastAsia="zh-CN"/>
        </w:rPr>
        <w:t>幼儿园课程与教学</w:t>
      </w:r>
      <w:r>
        <w:rPr>
          <w:rFonts w:hint="eastAsia" w:ascii="黑体" w:eastAsia="黑体"/>
          <w:b/>
          <w:bCs/>
          <w:color w:val="333333"/>
        </w:rPr>
        <w:t>》</w:t>
      </w:r>
      <w:r>
        <w:rPr>
          <w:rFonts w:hint="eastAsia" w:ascii="黑体" w:eastAsia="黑体"/>
          <w:b/>
          <w:bCs/>
          <w:color w:val="333333"/>
          <w:lang w:eastAsia="zh-CN"/>
        </w:rPr>
        <w:t>（课程代码：</w:t>
      </w:r>
      <w:r>
        <w:rPr>
          <w:rFonts w:hint="eastAsia" w:ascii="黑体" w:eastAsia="黑体"/>
          <w:b/>
          <w:bCs/>
          <w:color w:val="333333"/>
          <w:lang w:val="en-US" w:eastAsia="zh-CN"/>
        </w:rPr>
        <w:t>14605</w:t>
      </w:r>
      <w:r>
        <w:rPr>
          <w:rFonts w:hint="eastAsia" w:ascii="黑体" w:eastAsia="黑体"/>
          <w:b/>
          <w:bCs/>
          <w:color w:val="333333"/>
          <w:lang w:eastAsia="zh-CN"/>
        </w:rPr>
        <w:t>）</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hint="eastAsia" w:ascii="仿宋_GB2312" w:eastAsia="仿宋_GB2312"/>
          <w:color w:val="333333"/>
        </w:rPr>
      </w:pP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firstLine="420" w:firstLineChars="200"/>
        <w:rPr>
          <w:rFonts w:ascii="仿宋_GB2312" w:eastAsia="仿宋_GB2312"/>
          <w:color w:val="333333"/>
        </w:rPr>
      </w:pPr>
      <w:r>
        <w:rPr>
          <w:rFonts w:hint="eastAsia" w:ascii="仿宋_GB2312" w:eastAsia="仿宋_GB2312"/>
          <w:color w:val="333333"/>
        </w:rPr>
        <w:t>《</w:t>
      </w:r>
      <w:r>
        <w:rPr>
          <w:rFonts w:hint="eastAsia" w:ascii="仿宋_GB2312" w:eastAsia="仿宋_GB2312"/>
          <w:color w:val="333333"/>
          <w:lang w:val="en-US" w:eastAsia="zh-CN"/>
        </w:rPr>
        <w:t>幼儿园课程与教学</w:t>
      </w:r>
      <w:r>
        <w:rPr>
          <w:rFonts w:hint="eastAsia" w:ascii="仿宋_GB2312" w:eastAsia="仿宋_GB2312"/>
          <w:color w:val="333333"/>
        </w:rPr>
        <w:t>》课程是全国高等教育自学考试</w:t>
      </w:r>
      <w:r>
        <w:rPr>
          <w:rFonts w:hint="eastAsia" w:ascii="仿宋_GB2312" w:eastAsia="仿宋_GB2312"/>
          <w:color w:val="333333"/>
          <w:lang w:val="en-US" w:eastAsia="zh-CN"/>
        </w:rPr>
        <w:t>学前教育</w:t>
      </w:r>
      <w:r>
        <w:rPr>
          <w:rFonts w:hint="eastAsia" w:ascii="仿宋_GB2312" w:eastAsia="仿宋_GB2312"/>
          <w:color w:val="333333"/>
        </w:rPr>
        <w:t>专业的</w:t>
      </w:r>
      <w:r>
        <w:rPr>
          <w:rFonts w:hint="eastAsia" w:ascii="仿宋_GB2312" w:eastAsia="仿宋_GB2312"/>
          <w:color w:val="333333"/>
          <w:lang w:val="en-US" w:eastAsia="zh-CN"/>
        </w:rPr>
        <w:t>专业</w:t>
      </w:r>
      <w:r>
        <w:rPr>
          <w:rFonts w:hint="eastAsia" w:ascii="仿宋_GB2312" w:eastAsia="仿宋_GB2312"/>
          <w:color w:val="333333"/>
        </w:rPr>
        <w:t>课程，是向自学者系统阐述</w:t>
      </w:r>
      <w:r>
        <w:rPr>
          <w:rFonts w:hint="eastAsia" w:ascii="仿宋_GB2312" w:eastAsia="仿宋_GB2312"/>
          <w:color w:val="333333"/>
          <w:lang w:val="en-US" w:eastAsia="zh-CN"/>
        </w:rPr>
        <w:t>幼儿园课程与教学领域的基本概念、基本原理与方法，反映幼儿园课程与教学领域的新变化、新成果</w:t>
      </w:r>
      <w:r>
        <w:rPr>
          <w:rFonts w:hint="eastAsia" w:ascii="仿宋_GB2312" w:eastAsia="仿宋_GB2312"/>
          <w:color w:val="333333"/>
        </w:rPr>
        <w:t>的一门主干课程。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达到以下三个目标：（1）了解幼儿园课程与教学的基本概念、思想及其发展脉络，掌握幼儿园课程开发的主要模式及课程设计取向。（2）了解幼儿园课程设计的基本要素（目标、内容、实施、评价）及其相关理论，掌握幼儿园教育活动设计及评价的基本技能，熟悉经典幼儿园课程理论与方案。（3）了解园本课程开发的原理及流程，能够初步制订园本课程方案。</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本课程的考试内容以课程考试大纲为依据。其内容为：</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第一章“幼儿园课程概述”需要掌握：课程的概念与类型；幼儿园课程的概念与特质。</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第二章“幼儿园课程开发模式与设计取向”需要掌握：幼儿园课程开发的目标模式、过程模式以及两种模式的动态契合；幼儿园课程设计的学科中心取向、学习者中心取向与问题中心取向。</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第三章“幼儿园课程目标”需要掌握：幼儿园课程目标的内涵与依据；幼儿园课程目标的两种体系、层次结构以及表述。</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四章“幼儿园课程内容”需要掌握：幼儿园课程内容的概念及意义；幼儿园课程内容的范围及类型；幼儿园课程内容的选择原则及容易出现的问题；幼儿园课程内容组织的含义、方式，不同组织方式下课的幼儿园课程类型及幼儿园课程内容组织过程中存在的问题。</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第五章“幼儿园课程实施”需要掌握：课程实施的含义与取向；生活活动、游戏活动、教学活动、社会实践活动、节日活动等幼儿园课程实施的途径；幼儿园课程实施的影响因素及常见问题。</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六章“幼儿园课程评价”需要掌握：幼儿园课程评价的概念、目的、基本要素及基本原则；幼儿园课程理念、目标、内容及评价方案的评价；幼儿园课程实施过程评价；指向儿童学习与发展的幼儿园课程效果评价的原则、指标体系与方法。</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第七章“幼儿园教育活动设计”需要掌握：学科（领域）活动的内涵、设计及评价；单元主题活动的内涵、设计及评价；项目活动的内涵、设计及评价；区域活动的内涵、设计及评价。</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第八章“经典幼儿园课程理论与方案”需要掌握：五指活动课程的基本理论观点及其方案；幼稚园行为课程的理论来源、基本观点及其方案；蒙台梭利课程的理论基础、方案及评价；高宽课程及其方案；意大利瑞吉欧幼儿教育体系与课程方案；华德福幼儿教育理论与课程方案。</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第九章“园本课程”需要掌握：园本课程的内涵、特点与类型及其功能；园本课程开发的界定、实践、流程及反思；园本课程方案的编制。</w:t>
      </w: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考试必读教材：《幼儿园课程概论》（第3版）（王春燕、秦元东主编，高等教育出版社，2019年版）</w:t>
      </w:r>
      <w:r>
        <w:rPr>
          <w:rFonts w:ascii="仿宋_GB2312" w:eastAsia="仿宋_GB2312"/>
          <w:color w:val="333333"/>
        </w:rPr>
        <w:t>。</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《幼儿园课程与教学》</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考试的题型有：单项选择题、</w:t>
      </w:r>
      <w:r>
        <w:rPr>
          <w:rFonts w:hint="eastAsia" w:ascii="仿宋_GB2312" w:eastAsia="仿宋_GB2312"/>
          <w:color w:val="333333"/>
          <w:lang w:val="en-US" w:eastAsia="zh-CN"/>
        </w:rPr>
        <w:t>判断题、填空题、名词解释、简答题、</w:t>
      </w:r>
      <w:r>
        <w:rPr>
          <w:rFonts w:ascii="仿宋_GB2312" w:eastAsia="仿宋_GB2312"/>
          <w:color w:val="333333"/>
        </w:rPr>
        <w:t>论述题。</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w:t>
      </w:r>
      <w:r>
        <w:rPr>
          <w:rFonts w:hint="eastAsia" w:ascii="仿宋_GB2312" w:eastAsia="仿宋_GB2312"/>
          <w:color w:val="333333"/>
          <w:lang w:val="en-US" w:eastAsia="zh-CN"/>
        </w:rPr>
        <w:t>3</w:t>
      </w:r>
      <w:r>
        <w:rPr>
          <w:rFonts w:ascii="仿宋_GB2312" w:eastAsia="仿宋_GB2312"/>
          <w:color w:val="333333"/>
        </w:rPr>
        <w:t>0%，较易3</w:t>
      </w:r>
      <w:r>
        <w:rPr>
          <w:rFonts w:hint="eastAsia" w:ascii="仿宋_GB2312" w:eastAsia="仿宋_GB2312"/>
          <w:color w:val="333333"/>
          <w:lang w:val="en-US" w:eastAsia="zh-CN"/>
        </w:rPr>
        <w:t>0%</w:t>
      </w:r>
      <w:r>
        <w:rPr>
          <w:rFonts w:ascii="仿宋_GB2312" w:eastAsia="仿宋_GB2312"/>
          <w:color w:val="333333"/>
        </w:rPr>
        <w:t>，较难3</w:t>
      </w:r>
      <w:r>
        <w:rPr>
          <w:rFonts w:hint="eastAsia" w:ascii="仿宋_GB2312" w:eastAsia="仿宋_GB2312"/>
          <w:color w:val="333333"/>
          <w:lang w:val="en-US" w:eastAsia="zh-CN"/>
        </w:rPr>
        <w:t>0%</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幼儿园课程与教学</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2" w:firstLineChars="200"/>
        <w:rPr>
          <w:rFonts w:ascii="仿宋_GB2312" w:eastAsia="仿宋_GB2312"/>
          <w:color w:val="333333"/>
        </w:rPr>
      </w:pPr>
      <w:r>
        <w:rPr>
          <w:b/>
          <w:bCs/>
          <w:color w:val="333333"/>
        </w:rPr>
        <w:t>1</w:t>
      </w:r>
      <w:r>
        <w:rPr>
          <w:rFonts w:hint="eastAsia"/>
          <w:b/>
          <w:bCs/>
          <w:color w:val="333333"/>
          <w:lang w:val="en-US" w:eastAsia="zh-CN"/>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lang w:val="en-US" w:eastAsia="zh-CN"/>
        </w:rPr>
        <w:t>教师加入幼儿正在进行的游戏之中，但仍让幼儿主宰游戏进程的参与方式是</w:t>
      </w:r>
      <w:r>
        <w:rPr>
          <w:rFonts w:hint="eastAsia" w:ascii="仿宋_GB2312" w:eastAsia="仿宋_GB2312"/>
          <w:color w:val="333333"/>
        </w:rPr>
        <w:t xml:space="preserve">              【</w:t>
      </w:r>
      <w:r>
        <w:rPr>
          <w:rFonts w:hint="eastAsia" w:ascii="仿宋_GB2312" w:eastAsia="仿宋_GB2312"/>
          <w:color w:val="333333"/>
          <w:lang w:val="en-US" w:eastAsia="zh-CN"/>
        </w:rPr>
        <w:t xml:space="preserve">     </w:t>
      </w:r>
      <w:r>
        <w:rPr>
          <w:rFonts w:hint="eastAsia" w:ascii="仿宋_GB2312" w:eastAsia="仿宋_GB2312"/>
          <w:color w:val="333333"/>
        </w:rPr>
        <w:t>】</w:t>
      </w:r>
      <w:bookmarkStart w:id="0" w:name="_GoBack"/>
      <w:bookmarkEnd w:id="0"/>
    </w:p>
    <w:p>
      <w:pPr>
        <w:tabs>
          <w:tab w:val="left" w:pos="945"/>
        </w:tabs>
        <w:ind w:firstLine="420" w:firstLineChars="200"/>
        <w:rPr>
          <w:rFonts w:ascii="仿宋_GB2312" w:eastAsia="仿宋_GB2312"/>
          <w:color w:val="333333"/>
        </w:rPr>
      </w:pPr>
      <w:r>
        <w:rPr>
          <w:rFonts w:ascii="仿宋_GB2312" w:eastAsia="仿宋_GB2312"/>
          <w:color w:val="333333"/>
        </w:rPr>
        <w:t>A.</w:t>
      </w:r>
      <w:r>
        <w:rPr>
          <w:rFonts w:hint="eastAsia" w:ascii="仿宋_GB2312" w:eastAsia="仿宋_GB2312"/>
          <w:color w:val="333333"/>
          <w:lang w:val="en-US" w:eastAsia="zh-CN"/>
        </w:rPr>
        <w:t>平行式参与</w:t>
      </w:r>
      <w:r>
        <w:rPr>
          <w:rFonts w:ascii="仿宋_GB2312" w:eastAsia="仿宋_GB2312"/>
          <w:color w:val="333333"/>
        </w:rPr>
        <w:tab/>
      </w:r>
      <w:r>
        <w:rPr>
          <w:rFonts w:hint="eastAsia" w:ascii="仿宋_GB2312" w:eastAsia="仿宋_GB2312"/>
          <w:color w:val="333333"/>
          <w:lang w:val="en-US" w:eastAsia="zh-CN"/>
        </w:rPr>
        <w:tab/>
        <w:t/>
      </w:r>
      <w:r>
        <w:rPr>
          <w:rFonts w:hint="eastAsia" w:ascii="仿宋_GB2312" w:eastAsia="仿宋_GB2312"/>
          <w:color w:val="333333"/>
          <w:lang w:val="en-US" w:eastAsia="zh-CN"/>
        </w:rPr>
        <w:tab/>
      </w:r>
      <w:r>
        <w:rPr>
          <w:rFonts w:ascii="仿宋_GB2312" w:eastAsia="仿宋_GB2312"/>
          <w:color w:val="333333"/>
        </w:rPr>
        <w:t>B.</w:t>
      </w:r>
      <w:r>
        <w:rPr>
          <w:rFonts w:hint="eastAsia" w:ascii="仿宋_GB2312" w:eastAsia="仿宋_GB2312"/>
          <w:color w:val="333333"/>
          <w:lang w:val="en-US" w:eastAsia="zh-CN"/>
        </w:rPr>
        <w:t>合作式参与</w:t>
      </w:r>
      <w:r>
        <w:rPr>
          <w:rFonts w:ascii="仿宋_GB2312" w:eastAsia="仿宋_GB2312"/>
          <w:color w:val="333333"/>
        </w:rPr>
        <w:tab/>
      </w:r>
    </w:p>
    <w:p>
      <w:pPr>
        <w:tabs>
          <w:tab w:val="left" w:pos="945"/>
        </w:tabs>
        <w:ind w:firstLine="420" w:firstLineChars="200"/>
        <w:rPr>
          <w:rFonts w:hint="default" w:ascii="仿宋_GB2312" w:eastAsia="仿宋_GB2312"/>
          <w:color w:val="333333"/>
          <w:lang w:val="en-US" w:eastAsia="zh-CN"/>
        </w:rPr>
      </w:pPr>
      <w:r>
        <w:rPr>
          <w:rFonts w:ascii="仿宋_GB2312" w:eastAsia="仿宋_GB2312"/>
          <w:color w:val="333333"/>
        </w:rPr>
        <w:t>C.</w:t>
      </w:r>
      <w:r>
        <w:rPr>
          <w:rFonts w:hint="eastAsia" w:ascii="仿宋_GB2312" w:eastAsia="仿宋_GB2312"/>
          <w:color w:val="333333"/>
          <w:lang w:val="en-US" w:eastAsia="zh-CN"/>
        </w:rPr>
        <w:t>指导式参与</w:t>
      </w:r>
      <w:r>
        <w:rPr>
          <w:rFonts w:ascii="仿宋_GB2312" w:eastAsia="仿宋_GB2312"/>
          <w:color w:val="333333"/>
        </w:rPr>
        <w:tab/>
      </w:r>
      <w:r>
        <w:rPr>
          <w:rFonts w:ascii="仿宋_GB2312" w:eastAsia="仿宋_GB2312"/>
          <w:color w:val="333333"/>
        </w:rPr>
        <w:t xml:space="preserve">  </w:t>
      </w:r>
      <w:r>
        <w:rPr>
          <w:rFonts w:hint="eastAsia" w:ascii="仿宋_GB2312" w:eastAsia="仿宋_GB2312"/>
          <w:color w:val="333333"/>
          <w:lang w:val="en-US" w:eastAsia="zh-CN"/>
        </w:rPr>
        <w:tab/>
        <w:t/>
      </w:r>
      <w:r>
        <w:rPr>
          <w:rFonts w:hint="eastAsia" w:ascii="仿宋_GB2312" w:eastAsia="仿宋_GB2312"/>
          <w:color w:val="333333"/>
          <w:lang w:val="en-US" w:eastAsia="zh-CN"/>
        </w:rPr>
        <w:tab/>
      </w:r>
      <w:r>
        <w:rPr>
          <w:rFonts w:ascii="仿宋_GB2312" w:eastAsia="仿宋_GB2312"/>
          <w:color w:val="333333"/>
        </w:rPr>
        <w:t>D.</w:t>
      </w:r>
      <w:r>
        <w:rPr>
          <w:rFonts w:hint="eastAsia" w:ascii="仿宋_GB2312" w:eastAsia="仿宋_GB2312"/>
          <w:color w:val="333333"/>
          <w:lang w:val="en-US" w:eastAsia="zh-CN"/>
        </w:rPr>
        <w:t>真实发言人式参与</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自20世纪80年代以来，国际上流行的“科学-技术-社会课程”（简称“STS课程”）、“环境教育课程”属于</w:t>
      </w:r>
      <w:r>
        <w:rPr>
          <w:rFonts w:hint="eastAsia" w:ascii="仿宋_GB2312" w:eastAsia="仿宋_GB2312"/>
          <w:color w:val="333333"/>
        </w:rPr>
        <w:t>【</w:t>
      </w:r>
      <w:r>
        <w:rPr>
          <w:rFonts w:hint="eastAsia" w:ascii="仿宋_GB2312" w:eastAsia="仿宋_GB2312"/>
          <w:color w:val="333333"/>
          <w:lang w:val="en-US" w:eastAsia="zh-CN"/>
        </w:rPr>
        <w:t xml:space="preserve">     </w:t>
      </w:r>
      <w:r>
        <w:rPr>
          <w:rFonts w:hint="eastAsia" w:ascii="仿宋_GB2312" w:eastAsia="仿宋_GB2312"/>
          <w:color w:val="333333"/>
        </w:rPr>
        <w:t>】</w:t>
      </w:r>
    </w:p>
    <w:p>
      <w:pPr>
        <w:tabs>
          <w:tab w:val="left" w:pos="945"/>
        </w:tabs>
        <w:ind w:firstLine="420" w:firstLineChars="200"/>
        <w:rPr>
          <w:rFonts w:hint="eastAsia" w:ascii="仿宋_GB2312" w:eastAsia="仿宋_GB2312"/>
          <w:color w:val="333333"/>
          <w:lang w:val="en-US" w:eastAsia="zh-CN"/>
        </w:rPr>
      </w:pPr>
      <w:r>
        <w:rPr>
          <w:rFonts w:ascii="仿宋_GB2312" w:eastAsia="仿宋_GB2312"/>
          <w:color w:val="333333"/>
        </w:rPr>
        <w:t>A.</w:t>
      </w:r>
      <w:r>
        <w:rPr>
          <w:rFonts w:hint="eastAsia" w:ascii="仿宋_GB2312" w:eastAsia="仿宋_GB2312"/>
          <w:color w:val="333333"/>
          <w:lang w:val="en-US" w:eastAsia="zh-CN"/>
        </w:rPr>
        <w:t>分科课程</w:t>
      </w:r>
      <w:r>
        <w:rPr>
          <w:rFonts w:ascii="仿宋_GB2312" w:eastAsia="仿宋_GB2312"/>
          <w:color w:val="333333"/>
        </w:rPr>
        <w:tab/>
      </w:r>
      <w:r>
        <w:rPr>
          <w:rFonts w:ascii="仿宋_GB2312" w:eastAsia="仿宋_GB2312"/>
          <w:color w:val="333333"/>
        </w:rPr>
        <w:tab/>
      </w:r>
      <w:r>
        <w:rPr>
          <w:rFonts w:hint="eastAsia" w:ascii="仿宋_GB2312" w:eastAsia="仿宋_GB2312"/>
          <w:color w:val="333333"/>
          <w:lang w:val="en-US" w:eastAsia="zh-CN"/>
        </w:rPr>
        <w:tab/>
        <w:t/>
      </w:r>
      <w:r>
        <w:rPr>
          <w:rFonts w:hint="eastAsia" w:ascii="仿宋_GB2312" w:eastAsia="仿宋_GB2312"/>
          <w:color w:val="333333"/>
          <w:lang w:val="en-US" w:eastAsia="zh-CN"/>
        </w:rPr>
        <w:tab/>
      </w:r>
      <w:r>
        <w:rPr>
          <w:rFonts w:ascii="仿宋_GB2312" w:eastAsia="仿宋_GB2312"/>
          <w:color w:val="333333"/>
        </w:rPr>
        <w:t>B.</w:t>
      </w:r>
      <w:r>
        <w:rPr>
          <w:rFonts w:hint="eastAsia" w:ascii="仿宋_GB2312" w:eastAsia="仿宋_GB2312"/>
          <w:color w:val="333333"/>
          <w:lang w:val="en-US" w:eastAsia="zh-CN"/>
        </w:rPr>
        <w:t xml:space="preserve">学科本位综合课程          </w:t>
      </w:r>
    </w:p>
    <w:p>
      <w:p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C.经验课程</w:t>
      </w:r>
      <w:r>
        <w:rPr>
          <w:rFonts w:ascii="仿宋_GB2312" w:eastAsia="仿宋_GB2312"/>
          <w:color w:val="333333"/>
        </w:rPr>
        <w:tab/>
      </w:r>
      <w:r>
        <w:rPr>
          <w:rFonts w:ascii="仿宋_GB2312" w:eastAsia="仿宋_GB2312"/>
          <w:color w:val="333333"/>
        </w:rPr>
        <w:tab/>
      </w:r>
      <w:r>
        <w:rPr>
          <w:rFonts w:ascii="仿宋_GB2312" w:eastAsia="仿宋_GB2312"/>
          <w:color w:val="333333"/>
        </w:rPr>
        <w:tab/>
      </w:r>
      <w:r>
        <w:rPr>
          <w:rFonts w:hint="eastAsia" w:ascii="仿宋_GB2312" w:eastAsia="仿宋_GB2312"/>
          <w:color w:val="333333"/>
          <w:lang w:val="en-US" w:eastAsia="zh-CN"/>
        </w:rPr>
        <w:t xml:space="preserve">  </w:t>
      </w:r>
      <w:r>
        <w:rPr>
          <w:rFonts w:hint="eastAsia" w:ascii="仿宋_GB2312" w:eastAsia="仿宋_GB2312"/>
          <w:color w:val="333333"/>
          <w:lang w:val="en-US" w:eastAsia="zh-CN"/>
        </w:rPr>
        <w:tab/>
      </w:r>
      <w:r>
        <w:rPr>
          <w:rFonts w:ascii="仿宋_GB2312" w:eastAsia="仿宋_GB2312"/>
          <w:color w:val="333333"/>
        </w:rPr>
        <w:t>D.</w:t>
      </w:r>
      <w:r>
        <w:rPr>
          <w:rFonts w:hint="eastAsia" w:ascii="仿宋_GB2312" w:eastAsia="仿宋_GB2312"/>
          <w:color w:val="333333"/>
          <w:lang w:val="en-US" w:eastAsia="zh-CN"/>
        </w:rPr>
        <w:t>社会本位综合课程</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2.</w:t>
      </w:r>
      <w:r>
        <w:rPr>
          <w:rFonts w:hint="eastAsia" w:ascii="黑体" w:eastAsia="黑体"/>
          <w:b/>
          <w:bCs/>
          <w:color w:val="333333"/>
          <w:lang w:val="en-US" w:eastAsia="zh-CN"/>
        </w:rPr>
        <w:t>判断题</w:t>
      </w:r>
    </w:p>
    <w:p>
      <w:pPr>
        <w:tabs>
          <w:tab w:val="left" w:pos="945"/>
        </w:tabs>
        <w:ind w:firstLine="420" w:firstLineChars="200"/>
        <w:rPr>
          <w:rFonts w:hint="eastAsia" w:ascii="仿宋_GB2312" w:eastAsia="仿宋_GB2312"/>
          <w:color w:val="333333"/>
        </w:rPr>
      </w:pPr>
      <w:r>
        <w:rPr>
          <w:rFonts w:hint="eastAsia" w:ascii="仿宋_GB2312" w:eastAsia="仿宋_GB2312"/>
          <w:color w:val="333333"/>
          <w:lang w:val="en-US" w:eastAsia="zh-CN"/>
        </w:rPr>
        <w:t>（1）学校教育中有计划、有组织的实施的“正式课程”或“官方课程”属于隐性课程。</w:t>
      </w:r>
      <w:r>
        <w:rPr>
          <w:rFonts w:hint="eastAsia" w:ascii="仿宋_GB2312" w:eastAsia="仿宋_GB2312"/>
          <w:color w:val="333333"/>
        </w:rPr>
        <w:t>【</w:t>
      </w:r>
      <w:r>
        <w:rPr>
          <w:rFonts w:hint="eastAsia" w:ascii="仿宋_GB2312" w:eastAsia="仿宋_GB2312"/>
          <w:color w:val="333333"/>
          <w:lang w:val="en-US" w:eastAsia="zh-CN"/>
        </w:rPr>
        <w:t xml:space="preserve">     </w:t>
      </w:r>
      <w:r>
        <w:rPr>
          <w:rFonts w:hint="eastAsia" w:ascii="仿宋_GB2312" w:eastAsia="仿宋_GB2312"/>
          <w:color w:val="333333"/>
        </w:rPr>
        <w:t>】</w:t>
      </w:r>
    </w:p>
    <w:p>
      <w:p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（2）学科中心设计是最流行、使用得最广泛的课程设计。</w:t>
      </w:r>
      <w:r>
        <w:rPr>
          <w:rFonts w:hint="eastAsia" w:ascii="仿宋_GB2312" w:eastAsia="仿宋_GB2312"/>
          <w:color w:val="333333"/>
        </w:rPr>
        <w:t>【</w:t>
      </w:r>
      <w:r>
        <w:rPr>
          <w:rFonts w:hint="eastAsia" w:ascii="仿宋_GB2312" w:eastAsia="仿宋_GB2312"/>
          <w:color w:val="333333"/>
          <w:lang w:val="en-US" w:eastAsia="zh-CN"/>
        </w:rPr>
        <w:t xml:space="preserve">     </w:t>
      </w:r>
      <w:r>
        <w:rPr>
          <w:rFonts w:hint="eastAsia" w:ascii="仿宋_GB2312" w:eastAsia="仿宋_GB2312"/>
          <w:color w:val="333333"/>
        </w:rPr>
        <w:t>】</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3.填空题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lang w:val="en-US" w:eastAsia="zh-CN"/>
        </w:rPr>
        <w:t>（1）课程目标模式的代表人物泰勒提出了学习经验的两种组织方式，一种指不同领域学习经验之间的联系，即_______；另一种指不同阶段（或学期）学习经验之间的联系，即_______</w:t>
      </w:r>
      <w:r>
        <w:rPr>
          <w:rFonts w:hint="eastAsia" w:ascii="仿宋_GB2312" w:eastAsia="仿宋_GB2312"/>
          <w:color w:val="333333"/>
          <w:u w:val="none"/>
          <w:lang w:val="en-US" w:eastAsia="zh-CN"/>
        </w:rPr>
        <w:t>。</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（2）幼儿园课程目标的层次从上到下主要包括：幼儿园课程总目标、年龄阶段（学年）目标、</w:t>
      </w:r>
      <w:r>
        <w:rPr>
          <w:rFonts w:hint="eastAsia" w:ascii="仿宋_GB2312" w:eastAsia="仿宋_GB2312"/>
          <w:color w:val="333333"/>
          <w:lang w:val="en-US" w:eastAsia="zh-CN"/>
        </w:rPr>
        <w:t>______________与______________</w:t>
      </w:r>
      <w:r>
        <w:rPr>
          <w:rFonts w:hint="eastAsia" w:ascii="仿宋_GB2312" w:eastAsia="仿宋_GB2312"/>
          <w:color w:val="333333"/>
          <w:u w:val="none"/>
          <w:lang w:val="en-US" w:eastAsia="zh-CN"/>
        </w:rPr>
        <w:t>。</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4.名词解释题</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（1）表现性目标</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（2）相互适应取向</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5.简答题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（1）简述幼儿园课程评价的基本原则。</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（2）简述幼儿园课程实施的基本途径。</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6.论述题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（1）结合实践，分析幼儿园课程内容选择的原则。</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（2）试分析陈鹤琴先生“五指活动课程”及当代意义。</w:t>
      </w:r>
    </w:p>
    <w:p>
      <w:pPr>
        <w:tabs>
          <w:tab w:val="left" w:pos="945"/>
        </w:tabs>
        <w:ind w:firstLine="420" w:firstLineChars="200"/>
        <w:rPr>
          <w:rFonts w:hint="eastAsia" w:ascii="仿宋_GB2312" w:eastAsia="仿宋_GB2312"/>
          <w:color w:val="333333"/>
          <w:lang w:val="en-US" w:eastAsia="zh-CN"/>
        </w:rPr>
      </w:pPr>
    </w:p>
    <w:p>
      <w:pPr>
        <w:tabs>
          <w:tab w:val="left" w:pos="945"/>
        </w:tabs>
        <w:ind w:firstLine="420" w:firstLineChars="200"/>
        <w:rPr>
          <w:rFonts w:hint="default" w:ascii="仿宋_GB2312" w:eastAsia="仿宋_GB2312"/>
          <w:color w:val="33333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38B907BB"/>
    <w:rsid w:val="11EC1F7A"/>
    <w:rsid w:val="2D382A76"/>
    <w:rsid w:val="37626DD6"/>
    <w:rsid w:val="38B907BB"/>
    <w:rsid w:val="4F0C1887"/>
    <w:rsid w:val="54D3497C"/>
    <w:rsid w:val="6B446F96"/>
    <w:rsid w:val="6D8C033A"/>
    <w:rsid w:val="6FBE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2356</Words>
  <Characters>2419</Characters>
  <Lines>0</Lines>
  <Paragraphs>0</Paragraphs>
  <TotalTime>62</TotalTime>
  <ScaleCrop>false</ScaleCrop>
  <LinksUpToDate>false</LinksUpToDate>
  <CharactersWithSpaces>2584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2023-04-18T09:56:00Z</dcterms:created>
  <dc:creator>中羽</dc:creator>
  <cp:lastModifiedBy>陈国明</cp:lastModifiedBy>
  <dcterms:modified xsi:type="dcterms:W3CDTF">2023-09-24T11:50:49Z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34B05A9FDA8B48F3917C6C585DB72E7C</vt:lpwstr>
  </property>
</Properties>
</file>