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color w:val="333333"/>
        </w:rPr>
      </w:pPr>
      <w:r>
        <w:rPr>
          <w:rFonts w:hint="eastAsia" w:ascii="黑体" w:eastAsia="黑体"/>
          <w:b/>
          <w:bCs/>
          <w:color w:val="333333"/>
        </w:rPr>
        <w:t>《学生事务管理》（课程代码：14506）课程考试大纲</w:t>
      </w:r>
    </w:p>
    <w:p>
      <w:pPr>
        <w:ind w:right="41" w:firstLine="420" w:firstLineChars="200"/>
        <w:rPr>
          <w:rFonts w:ascii="仿宋_GB2312" w:eastAsia="仿宋_GB2312"/>
          <w:color w:val="333333"/>
        </w:rPr>
      </w:pPr>
    </w:p>
    <w:p>
      <w:pPr>
        <w:ind w:right="41" w:firstLine="420" w:firstLineChars="200"/>
        <w:rPr>
          <w:rFonts w:ascii="仿宋_GB2312" w:eastAsia="仿宋_GB2312"/>
          <w:color w:val="333333"/>
        </w:rPr>
      </w:pPr>
      <w:r>
        <w:rPr>
          <w:rFonts w:hint="eastAsia" w:ascii="仿宋_GB2312" w:eastAsia="仿宋_GB2312"/>
          <w:color w:val="333333"/>
        </w:rPr>
        <w:t>高等教育自学考试是对自学者进行的以学历教育为主的国家考试，是个人自学、社会助学和国家考试相结合的高等教育形式。按照自学考试课程命题的有关规定，制定本大纲。</w:t>
      </w:r>
    </w:p>
    <w:p>
      <w:pPr>
        <w:ind w:right="41" w:firstLine="422" w:firstLineChars="200"/>
        <w:rPr>
          <w:rFonts w:ascii="黑体" w:eastAsia="黑体"/>
          <w:b/>
          <w:bCs/>
          <w:color w:val="333333"/>
        </w:rPr>
      </w:pPr>
      <w:r>
        <w:rPr>
          <w:rFonts w:hint="eastAsia" w:ascii="黑体" w:eastAsia="黑体"/>
          <w:b/>
          <w:bCs/>
          <w:color w:val="333333"/>
        </w:rPr>
        <w:t>一、课程性质和考试目标</w:t>
      </w:r>
    </w:p>
    <w:p>
      <w:pPr>
        <w:ind w:right="41" w:firstLine="420" w:firstLineChars="200"/>
        <w:rPr>
          <w:rFonts w:ascii="仿宋_GB2312" w:eastAsia="仿宋_GB2312"/>
          <w:color w:val="333333"/>
        </w:rPr>
      </w:pPr>
      <w:r>
        <w:rPr>
          <w:rFonts w:ascii="仿宋_GB2312" w:eastAsia="仿宋_GB2312"/>
          <w:color w:val="333333"/>
        </w:rPr>
        <w:t>1．课程性质</w:t>
      </w:r>
    </w:p>
    <w:p>
      <w:pPr>
        <w:ind w:right="41" w:firstLine="420" w:firstLineChars="200"/>
        <w:rPr>
          <w:rFonts w:ascii="仿宋_GB2312" w:eastAsia="仿宋_GB2312"/>
          <w:color w:val="333333"/>
        </w:rPr>
      </w:pPr>
      <w:r>
        <w:rPr>
          <w:rFonts w:hint="eastAsia" w:ascii="仿宋_GB2312" w:eastAsia="仿宋_GB2312"/>
          <w:color w:val="333333"/>
        </w:rPr>
        <w:t>《学生事务管理》课程主要讲授了高校辅导员制度历史演进、大学生思想政治教育与学生事务管理关系、国外高校学生事务管理基本情况、高校传统学生日常管理的主要内容、新时期学生日常事务管理的主要内容、学生日常事务管理遵循的原则、高校辅导员学生日常事务管理能力提升的重要性和必要性高校辅导员学生日常事务管理能力提升的基本途径以及高校辅导员学生日常事务管理的前景展望，是一门选设课程。</w:t>
      </w:r>
    </w:p>
    <w:p>
      <w:pPr>
        <w:ind w:right="41" w:firstLine="420" w:firstLineChars="200"/>
        <w:rPr>
          <w:rFonts w:ascii="仿宋_GB2312" w:eastAsia="仿宋_GB2312"/>
          <w:color w:val="333333"/>
        </w:rPr>
      </w:pPr>
      <w:r>
        <w:rPr>
          <w:rFonts w:ascii="仿宋_GB2312" w:eastAsia="仿宋_GB2312"/>
          <w:color w:val="333333"/>
        </w:rPr>
        <w:t>2．考试目标</w:t>
      </w:r>
    </w:p>
    <w:p>
      <w:pPr>
        <w:ind w:right="41" w:firstLine="420" w:firstLineChars="200"/>
        <w:rPr>
          <w:rFonts w:ascii="仿宋_GB2312" w:eastAsia="仿宋_GB2312"/>
          <w:color w:val="333333"/>
        </w:rPr>
      </w:pPr>
      <w:r>
        <w:rPr>
          <w:rFonts w:hint="eastAsia" w:ascii="仿宋_GB2312" w:eastAsia="仿宋_GB2312"/>
          <w:color w:val="333333"/>
        </w:rPr>
        <w:t>通过自学和考试，使自学者本课程以提升高校辅导员学生日常事务管理能力为主线，结合国外高校学生事务管理的相关研究，探讨了我国高校学生日常事务管理的现状与不足，又结合授课人的学生工作经验，引导学生掌握学生事务管理的基础理论、政策法规、专业知识和工作技能，从而更好适应将来在中小学乃至大学的学生思想政治教育和管理工作。</w:t>
      </w:r>
    </w:p>
    <w:p>
      <w:pPr>
        <w:ind w:right="41" w:firstLine="422" w:firstLineChars="200"/>
        <w:rPr>
          <w:rFonts w:ascii="黑体" w:eastAsia="黑体"/>
          <w:b/>
          <w:bCs/>
          <w:color w:val="333333"/>
        </w:rPr>
      </w:pPr>
      <w:r>
        <w:rPr>
          <w:rFonts w:hint="eastAsia" w:ascii="黑体" w:eastAsia="黑体"/>
          <w:b/>
          <w:bCs/>
          <w:color w:val="333333"/>
        </w:rPr>
        <w:t>二、考试内容和考核要求</w:t>
      </w:r>
    </w:p>
    <w:p>
      <w:pPr>
        <w:ind w:right="41" w:firstLine="420" w:firstLineChars="200"/>
        <w:rPr>
          <w:rFonts w:ascii="仿宋_GB2312" w:eastAsia="仿宋_GB2312"/>
          <w:color w:val="333333"/>
        </w:rPr>
      </w:pPr>
      <w:r>
        <w:rPr>
          <w:rFonts w:hint="eastAsia" w:ascii="仿宋_GB2312" w:eastAsia="仿宋_GB2312"/>
          <w:color w:val="333333"/>
        </w:rPr>
        <w:t>本课程的考试内容以课程考试大纲为依据。其内容为：</w:t>
      </w:r>
    </w:p>
    <w:p>
      <w:pPr>
        <w:ind w:right="41" w:firstLine="420" w:firstLineChars="200"/>
        <w:rPr>
          <w:rFonts w:ascii="仿宋_GB2312" w:eastAsia="仿宋_GB2312"/>
          <w:color w:val="333333"/>
        </w:rPr>
      </w:pPr>
      <w:r>
        <w:rPr>
          <w:rFonts w:hint="eastAsia" w:ascii="仿宋_GB2312" w:eastAsia="仿宋_GB2312"/>
          <w:color w:val="333333"/>
        </w:rPr>
        <w:t>第一章“高校学生事务管理概述”需要掌握：学生事务管理的演变；学生事务定义与学生事务管理定义；事务管理自身的管理内容；学生事务管理的具体内容；教学事务管理的特点；我国高校学生事务管理的产生与发展历程。</w:t>
      </w:r>
    </w:p>
    <w:p>
      <w:pPr>
        <w:ind w:right="41" w:firstLine="420" w:firstLineChars="200"/>
        <w:rPr>
          <w:rFonts w:ascii="仿宋_GB2312" w:eastAsia="仿宋_GB2312"/>
          <w:color w:val="333333"/>
        </w:rPr>
      </w:pPr>
      <w:r>
        <w:rPr>
          <w:rFonts w:hint="eastAsia" w:ascii="仿宋_GB2312" w:eastAsia="仿宋_GB2312"/>
          <w:color w:val="333333"/>
        </w:rPr>
        <w:t>第二章“高校学生事务管理的理论基础”需要掌握：高校学生管理事务的目标和任务；校园环境理论与学生发展理论；高校学生事务管理组织模式；我国高校学生事务管理的理论基础；现代高校学生事务管理的未来。</w:t>
      </w:r>
    </w:p>
    <w:p>
      <w:pPr>
        <w:ind w:right="41" w:firstLine="420" w:firstLineChars="200"/>
        <w:rPr>
          <w:rFonts w:ascii="仿宋_GB2312" w:eastAsia="仿宋_GB2312"/>
          <w:color w:val="333333"/>
        </w:rPr>
      </w:pPr>
      <w:r>
        <w:rPr>
          <w:rFonts w:hint="eastAsia" w:ascii="仿宋_GB2312" w:eastAsia="仿宋_GB2312"/>
          <w:color w:val="333333"/>
        </w:rPr>
        <w:t>第三章“高校学生管理工作流程”需要掌握：健康服务与安全管理；纪律教育与行为规范的内容；民族学生服务与管理；学生住宿服务与学园管理。</w:t>
      </w:r>
    </w:p>
    <w:p>
      <w:pPr>
        <w:ind w:right="41" w:firstLine="420" w:firstLineChars="200"/>
        <w:rPr>
          <w:rFonts w:ascii="仿宋_GB2312" w:eastAsia="仿宋_GB2312"/>
          <w:color w:val="333333"/>
        </w:rPr>
      </w:pPr>
      <w:r>
        <w:rPr>
          <w:rFonts w:hint="eastAsia" w:ascii="仿宋_GB2312" w:eastAsia="仿宋_GB2312"/>
          <w:color w:val="333333"/>
        </w:rPr>
        <w:t>第四章“高校学生事务管理模式与管理方法”需要掌握：我国高校学生事务管理模式；中国特色的高校学生事务管理模式的主要内容；我国高校学生事务管理方法的原则；我国高校学生事务管理方法的发展趋势与特点。</w:t>
      </w:r>
    </w:p>
    <w:p>
      <w:pPr>
        <w:ind w:right="41" w:firstLine="420" w:firstLineChars="200"/>
        <w:rPr>
          <w:rFonts w:ascii="仿宋_GB2312" w:eastAsia="仿宋_GB2312"/>
          <w:color w:val="333333"/>
        </w:rPr>
      </w:pPr>
      <w:r>
        <w:rPr>
          <w:rFonts w:hint="eastAsia" w:ascii="仿宋_GB2312" w:eastAsia="仿宋_GB2312"/>
          <w:color w:val="333333"/>
        </w:rPr>
        <w:t>第五章“高等学校在学生教育管理中的权利与义务”需要掌握：高校管理的民事权利；高校学生管理权的内容和来源。</w:t>
      </w:r>
    </w:p>
    <w:p>
      <w:pPr>
        <w:ind w:right="41" w:firstLine="420" w:firstLineChars="200"/>
        <w:rPr>
          <w:rFonts w:ascii="仿宋_GB2312" w:eastAsia="仿宋_GB2312"/>
          <w:color w:val="333333"/>
        </w:rPr>
      </w:pPr>
      <w:r>
        <w:rPr>
          <w:rFonts w:hint="eastAsia" w:ascii="仿宋_GB2312" w:eastAsia="仿宋_GB2312"/>
          <w:color w:val="333333"/>
        </w:rPr>
        <w:t>第六章“高校学生事务管理中的主体”需要掌握：高校学生事务管理人员所具备的能力；高校学生事务管理人员的心智素质；高校学生事务管理人员的职责；高校学生事务管理中辅导员的重要性。</w:t>
      </w:r>
    </w:p>
    <w:p>
      <w:pPr>
        <w:ind w:right="41" w:firstLine="420" w:firstLineChars="200"/>
        <w:rPr>
          <w:rFonts w:ascii="仿宋_GB2312" w:eastAsia="仿宋_GB2312"/>
          <w:color w:val="333333"/>
        </w:rPr>
      </w:pPr>
      <w:r>
        <w:rPr>
          <w:rFonts w:hint="eastAsia" w:ascii="仿宋_GB2312" w:eastAsia="仿宋_GB2312"/>
          <w:color w:val="333333"/>
        </w:rPr>
        <w:t>第七章“民办高等学校学生管理的法制化结语”需要掌握：民办高等学校学生管理法制化的内在要求；民办高等学校学生管理法制化的依据；民办高等学校学生管理法制化的实现途径。</w:t>
      </w:r>
    </w:p>
    <w:p>
      <w:pPr>
        <w:ind w:right="41" w:firstLine="422" w:firstLineChars="200"/>
        <w:rPr>
          <w:rFonts w:ascii="黑体" w:eastAsia="黑体"/>
          <w:b/>
          <w:bCs/>
          <w:color w:val="333333"/>
        </w:rPr>
      </w:pPr>
      <w:r>
        <w:rPr>
          <w:rFonts w:hint="eastAsia" w:ascii="黑体" w:eastAsia="黑体"/>
          <w:b/>
          <w:bCs/>
          <w:color w:val="333333"/>
        </w:rPr>
        <w:t>三、考试范围和考试说明</w:t>
      </w:r>
    </w:p>
    <w:p>
      <w:pPr>
        <w:ind w:left="-8" w:leftChars="-4" w:firstLine="420" w:firstLineChars="200"/>
        <w:rPr>
          <w:rFonts w:ascii="仿宋_GB2312" w:eastAsia="仿宋_GB2312"/>
          <w:color w:val="333333"/>
        </w:rPr>
      </w:pPr>
      <w:r>
        <w:rPr>
          <w:rFonts w:hint="eastAsia" w:ascii="仿宋_GB2312" w:eastAsia="仿宋_GB2312"/>
          <w:color w:val="333333"/>
        </w:rPr>
        <w:t>坚持质量标准，注重能力考查，使考试合格者能达到一般普通高等学校同专业同课程的结业水平，并体现自学考试以培养应用型人才为主要目标的特点。</w:t>
      </w:r>
    </w:p>
    <w:p>
      <w:pPr>
        <w:ind w:firstLine="420" w:firstLineChars="200"/>
        <w:rPr>
          <w:rFonts w:ascii="仿宋_GB2312" w:eastAsia="仿宋_GB2312"/>
          <w:color w:val="333333"/>
        </w:rPr>
      </w:pPr>
      <w:r>
        <w:rPr>
          <w:rFonts w:hint="eastAsia" w:ascii="仿宋_GB2312" w:eastAsia="仿宋_GB2312"/>
          <w:color w:val="333333"/>
        </w:rPr>
        <w:t>1.</w:t>
      </w:r>
      <w:r>
        <w:rPr>
          <w:rFonts w:ascii="仿宋_GB2312" w:eastAsia="仿宋_GB2312"/>
          <w:color w:val="333333"/>
        </w:rPr>
        <w:t>考试依据和范围</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1）以本课程自学考试</w:t>
      </w:r>
      <w:r>
        <w:rPr>
          <w:rFonts w:hint="eastAsia" w:ascii="仿宋_GB2312" w:eastAsia="仿宋_GB2312"/>
          <w:color w:val="333333"/>
        </w:rPr>
        <w:t>大纲</w:t>
      </w:r>
      <w:r>
        <w:rPr>
          <w:rFonts w:ascii="仿宋_GB2312" w:eastAsia="仿宋_GB2312"/>
          <w:color w:val="333333"/>
        </w:rPr>
        <w:t>为考试依据。</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2）</w:t>
      </w:r>
      <w:r>
        <w:rPr>
          <w:rFonts w:hint="eastAsia" w:ascii="仿宋_GB2312" w:eastAsia="仿宋_GB2312"/>
          <w:color w:val="333333"/>
        </w:rPr>
        <w:t>考试必读教材：王文婷：《高校学生事务管理理论与实践探究》，北京：中国纺织出版社，201</w:t>
      </w:r>
      <w:r>
        <w:rPr>
          <w:rFonts w:hint="eastAsia" w:ascii="仿宋_GB2312" w:eastAsia="仿宋_GB2312"/>
          <w:color w:val="333333"/>
          <w:lang w:val="en-US" w:eastAsia="zh-CN"/>
        </w:rPr>
        <w:t>8</w:t>
      </w:r>
      <w:bookmarkStart w:id="0" w:name="_GoBack"/>
      <w:bookmarkEnd w:id="0"/>
      <w:r>
        <w:rPr>
          <w:rFonts w:hint="eastAsia" w:ascii="仿宋_GB2312" w:eastAsia="仿宋_GB2312"/>
          <w:color w:val="333333"/>
        </w:rPr>
        <w:t>年</w:t>
      </w:r>
      <w:r>
        <w:rPr>
          <w:rFonts w:ascii="仿宋_GB2312" w:eastAsia="仿宋_GB2312"/>
          <w:color w:val="333333"/>
        </w:rPr>
        <w:t>。</w:t>
      </w:r>
    </w:p>
    <w:p>
      <w:pPr>
        <w:ind w:firstLine="420" w:firstLineChars="200"/>
        <w:rPr>
          <w:rFonts w:ascii="仿宋_GB2312" w:eastAsia="仿宋_GB2312"/>
          <w:color w:val="333333"/>
        </w:rPr>
      </w:pPr>
      <w:r>
        <w:rPr>
          <w:rFonts w:hint="eastAsia" w:ascii="仿宋_GB2312" w:eastAsia="仿宋_GB2312"/>
          <w:color w:val="333333"/>
        </w:rPr>
        <w:t>2.</w:t>
      </w:r>
      <w:r>
        <w:rPr>
          <w:rFonts w:ascii="仿宋_GB2312" w:eastAsia="仿宋_GB2312"/>
          <w:color w:val="333333"/>
        </w:rPr>
        <w:t>本课程考核的知识与能力的关系</w:t>
      </w:r>
    </w:p>
    <w:p>
      <w:pPr>
        <w:ind w:firstLine="420" w:firstLineChars="200"/>
        <w:rPr>
          <w:rFonts w:ascii="仿宋_GB2312" w:eastAsia="仿宋_GB2312"/>
          <w:color w:val="333333"/>
          <w:szCs w:val="28"/>
        </w:rPr>
      </w:pPr>
      <w:r>
        <w:rPr>
          <w:rFonts w:hint="eastAsia" w:ascii="仿宋_GB2312" w:eastAsia="仿宋_GB2312"/>
          <w:color w:val="333333"/>
        </w:rPr>
        <w:t>《学生事务管理》</w:t>
      </w:r>
      <w:r>
        <w:rPr>
          <w:rFonts w:hint="eastAsia" w:ascii="仿宋_GB2312" w:eastAsia="仿宋_GB2312"/>
          <w:color w:val="333333"/>
          <w:szCs w:val="28"/>
        </w:rPr>
        <w:t>课程考试，应考核应考者的基本理论和基本</w:t>
      </w:r>
      <w:r>
        <w:rPr>
          <w:rFonts w:hint="eastAsia" w:ascii="仿宋_GB2312" w:eastAsia="仿宋_GB2312"/>
          <w:color w:val="333333"/>
        </w:rPr>
        <w:t>知识，以及联系实际、运用所学的理论分析问题和解决问题的能力，确保考试合格者达到全日制普通高等学校本专业相同课程的</w:t>
      </w:r>
      <w:r>
        <w:rPr>
          <w:rFonts w:hint="eastAsia" w:ascii="仿宋_GB2312" w:eastAsia="仿宋_GB2312"/>
          <w:color w:val="333333"/>
          <w:szCs w:val="28"/>
        </w:rPr>
        <w:t>结业水平。</w:t>
      </w:r>
    </w:p>
    <w:p>
      <w:pPr>
        <w:ind w:firstLine="420" w:firstLineChars="200"/>
        <w:rPr>
          <w:rFonts w:ascii="仿宋_GB2312" w:eastAsia="仿宋_GB2312"/>
          <w:color w:val="333333"/>
          <w:szCs w:val="28"/>
        </w:rPr>
      </w:pPr>
      <w:r>
        <w:rPr>
          <w:rFonts w:hint="eastAsia" w:ascii="仿宋_GB2312" w:eastAsia="仿宋_GB2312"/>
          <w:color w:val="333333"/>
          <w:szCs w:val="28"/>
        </w:rPr>
        <w:t>考试工作应引导社会助学者全面系统地进行辅导，引导应考者认真、全面地学习指定教材，系统掌握本学科知识，培养和提高运用知识分析和解决问题的能力。</w:t>
      </w:r>
    </w:p>
    <w:p>
      <w:pPr>
        <w:ind w:firstLine="420" w:firstLineChars="200"/>
        <w:rPr>
          <w:rFonts w:ascii="仿宋_GB2312" w:eastAsia="仿宋_GB2312"/>
          <w:color w:val="333333"/>
          <w:szCs w:val="28"/>
        </w:rPr>
      </w:pPr>
      <w:r>
        <w:rPr>
          <w:rFonts w:hint="eastAsia" w:ascii="仿宋_GB2312" w:eastAsia="仿宋_GB2312"/>
          <w:color w:val="333333"/>
          <w:szCs w:val="28"/>
        </w:rPr>
        <w:t>3.重点与覆盖的关系</w:t>
      </w:r>
    </w:p>
    <w:p>
      <w:pPr>
        <w:ind w:firstLine="420" w:firstLineChars="200"/>
        <w:rPr>
          <w:rFonts w:ascii="仿宋_GB2312" w:eastAsia="仿宋_GB2312"/>
          <w:color w:val="333333"/>
          <w:szCs w:val="28"/>
        </w:rPr>
      </w:pPr>
      <w:r>
        <w:rPr>
          <w:rFonts w:hint="eastAsia" w:ascii="仿宋_GB2312" w:eastAsia="仿宋_GB2312"/>
          <w:color w:val="333333"/>
          <w:szCs w:val="28"/>
        </w:rPr>
        <w:t>试题覆盖到各章，重点章节的内容占试卷内容比例为50-60%。</w:t>
      </w:r>
    </w:p>
    <w:p>
      <w:pPr>
        <w:tabs>
          <w:tab w:val="left" w:pos="0"/>
          <w:tab w:val="left" w:pos="945"/>
        </w:tabs>
        <w:ind w:firstLine="422" w:firstLineChars="200"/>
        <w:rPr>
          <w:rFonts w:ascii="黑体" w:eastAsia="黑体"/>
          <w:b/>
          <w:bCs/>
          <w:color w:val="333333"/>
        </w:rPr>
      </w:pPr>
      <w:r>
        <w:rPr>
          <w:rFonts w:hint="eastAsia" w:ascii="黑体" w:eastAsia="黑体"/>
          <w:b/>
          <w:bCs/>
          <w:color w:val="333333"/>
        </w:rPr>
        <w:t>四、考试形式和试卷结构</w:t>
      </w:r>
    </w:p>
    <w:p>
      <w:pPr>
        <w:tabs>
          <w:tab w:val="left" w:pos="0"/>
          <w:tab w:val="left" w:pos="945"/>
        </w:tabs>
        <w:ind w:firstLine="420" w:firstLineChars="200"/>
        <w:rPr>
          <w:rFonts w:ascii="仿宋_GB2312" w:eastAsia="仿宋_GB2312"/>
          <w:color w:val="333333"/>
        </w:rPr>
      </w:pPr>
      <w:r>
        <w:rPr>
          <w:rFonts w:ascii="仿宋_GB2312" w:eastAsia="仿宋_GB2312"/>
          <w:color w:val="333333"/>
        </w:rPr>
        <w:t>1</w:t>
      </w:r>
      <w:r>
        <w:rPr>
          <w:rFonts w:hint="eastAsia" w:ascii="仿宋_GB2312" w:eastAsia="仿宋_GB2312"/>
          <w:color w:val="333333"/>
        </w:rPr>
        <w:t>.</w:t>
      </w:r>
      <w:r>
        <w:rPr>
          <w:rFonts w:ascii="仿宋_GB2312" w:eastAsia="仿宋_GB2312"/>
          <w:color w:val="333333"/>
        </w:rPr>
        <w:t>考试形式为闭卷笔试，答卷时间为150分钟，采用百分制，60分为及格线。</w:t>
      </w:r>
    </w:p>
    <w:p>
      <w:pPr>
        <w:tabs>
          <w:tab w:val="left" w:pos="945"/>
        </w:tabs>
        <w:ind w:firstLine="420" w:firstLineChars="200"/>
        <w:rPr>
          <w:rFonts w:ascii="仿宋_GB2312" w:eastAsia="仿宋_GB2312"/>
          <w:color w:val="333333"/>
        </w:rPr>
      </w:pPr>
      <w:r>
        <w:rPr>
          <w:rFonts w:ascii="仿宋_GB2312" w:eastAsia="仿宋_GB2312"/>
          <w:color w:val="333333"/>
        </w:rPr>
        <w:t>2</w:t>
      </w:r>
      <w:r>
        <w:rPr>
          <w:rFonts w:hint="eastAsia" w:ascii="仿宋_GB2312" w:eastAsia="仿宋_GB2312"/>
          <w:color w:val="333333"/>
        </w:rPr>
        <w:t>.</w:t>
      </w:r>
      <w:r>
        <w:rPr>
          <w:rFonts w:ascii="仿宋_GB2312" w:eastAsia="仿宋_GB2312"/>
          <w:color w:val="333333"/>
        </w:rPr>
        <w:t>考试的题型有：单项选择题、多项选择题、填空题、</w:t>
      </w:r>
      <w:r>
        <w:rPr>
          <w:rFonts w:hint="eastAsia" w:ascii="仿宋_GB2312" w:eastAsia="仿宋_GB2312"/>
          <w:color w:val="333333"/>
        </w:rPr>
        <w:t>名词解释、简答题、</w:t>
      </w:r>
      <w:r>
        <w:rPr>
          <w:rFonts w:ascii="仿宋_GB2312" w:eastAsia="仿宋_GB2312"/>
          <w:color w:val="333333"/>
        </w:rPr>
        <w:t>论述题。</w:t>
      </w:r>
    </w:p>
    <w:p>
      <w:pPr>
        <w:tabs>
          <w:tab w:val="left" w:pos="945"/>
        </w:tabs>
        <w:ind w:firstLine="420" w:firstLineChars="200"/>
        <w:rPr>
          <w:rFonts w:ascii="仿宋_GB2312" w:eastAsia="仿宋_GB2312"/>
          <w:color w:val="333333"/>
        </w:rPr>
      </w:pPr>
      <w:r>
        <w:rPr>
          <w:rFonts w:ascii="仿宋_GB2312" w:eastAsia="仿宋_GB2312"/>
          <w:color w:val="333333"/>
        </w:rPr>
        <w:t>3</w:t>
      </w:r>
      <w:r>
        <w:rPr>
          <w:rFonts w:hint="eastAsia" w:ascii="仿宋_GB2312" w:eastAsia="仿宋_GB2312"/>
          <w:color w:val="333333"/>
        </w:rPr>
        <w:t>.</w:t>
      </w:r>
      <w:r>
        <w:rPr>
          <w:rFonts w:ascii="仿宋_GB2312" w:eastAsia="仿宋_GB2312"/>
          <w:color w:val="333333"/>
        </w:rPr>
        <w:t>本课程在试题中不同难度要求的分数比例为：容易2</w:t>
      </w:r>
      <w:r>
        <w:rPr>
          <w:rFonts w:hint="eastAsia" w:ascii="仿宋_GB2312" w:eastAsia="仿宋_GB2312"/>
          <w:color w:val="333333"/>
        </w:rPr>
        <w:t>5</w:t>
      </w:r>
      <w:r>
        <w:rPr>
          <w:rFonts w:ascii="仿宋_GB2312" w:eastAsia="仿宋_GB2312"/>
          <w:color w:val="333333"/>
        </w:rPr>
        <w:t>%，较易35</w:t>
      </w:r>
      <w:r>
        <w:rPr>
          <w:rFonts w:hint="eastAsia" w:ascii="仿宋_GB2312" w:eastAsia="仿宋_GB2312"/>
          <w:color w:val="333333"/>
        </w:rPr>
        <w:t>%</w:t>
      </w:r>
      <w:r>
        <w:rPr>
          <w:rFonts w:ascii="仿宋_GB2312" w:eastAsia="仿宋_GB2312"/>
          <w:color w:val="333333"/>
        </w:rPr>
        <w:t>，较难3</w:t>
      </w:r>
      <w:r>
        <w:rPr>
          <w:rFonts w:hint="eastAsia" w:ascii="仿宋_GB2312" w:eastAsia="仿宋_GB2312"/>
          <w:color w:val="333333"/>
        </w:rPr>
        <w:t>0%</w:t>
      </w:r>
      <w:r>
        <w:rPr>
          <w:rFonts w:ascii="仿宋_GB2312" w:eastAsia="仿宋_GB2312"/>
          <w:color w:val="333333"/>
        </w:rPr>
        <w:t>，难10%。</w:t>
      </w:r>
    </w:p>
    <w:p>
      <w:pPr>
        <w:tabs>
          <w:tab w:val="left" w:pos="945"/>
        </w:tabs>
        <w:ind w:firstLine="420" w:firstLineChars="200"/>
        <w:rPr>
          <w:rFonts w:ascii="仿宋_GB2312" w:eastAsia="仿宋_GB2312"/>
          <w:color w:val="333333"/>
        </w:rPr>
      </w:pPr>
      <w:r>
        <w:rPr>
          <w:rFonts w:ascii="仿宋_GB2312" w:eastAsia="仿宋_GB2312"/>
          <w:color w:val="333333"/>
        </w:rPr>
        <w:t>4</w:t>
      </w:r>
      <w:r>
        <w:rPr>
          <w:rFonts w:hint="eastAsia" w:ascii="仿宋_GB2312" w:eastAsia="仿宋_GB2312"/>
          <w:color w:val="333333"/>
        </w:rPr>
        <w:t>.</w:t>
      </w:r>
      <w:r>
        <w:rPr>
          <w:rFonts w:ascii="仿宋_GB2312" w:eastAsia="仿宋_GB2312"/>
          <w:color w:val="333333"/>
        </w:rPr>
        <w:t>本课程在试题中对不同能力层次要求的分数比例为：识记占</w:t>
      </w:r>
      <w:r>
        <w:rPr>
          <w:rFonts w:hint="eastAsia" w:ascii="仿宋_GB2312" w:eastAsia="仿宋_GB2312"/>
          <w:color w:val="333333"/>
        </w:rPr>
        <w:t>3</w:t>
      </w:r>
      <w:r>
        <w:rPr>
          <w:rFonts w:ascii="仿宋_GB2312" w:eastAsia="仿宋_GB2312"/>
          <w:color w:val="333333"/>
        </w:rPr>
        <w:t>0%，领会占30%；简单应用占</w:t>
      </w:r>
      <w:r>
        <w:rPr>
          <w:rFonts w:hint="eastAsia" w:ascii="仿宋_GB2312" w:eastAsia="仿宋_GB2312"/>
          <w:color w:val="333333"/>
        </w:rPr>
        <w:t>25</w:t>
      </w:r>
      <w:r>
        <w:rPr>
          <w:rFonts w:ascii="仿宋_GB2312" w:eastAsia="仿宋_GB2312"/>
          <w:color w:val="333333"/>
        </w:rPr>
        <w:t>%；综合应用占</w:t>
      </w:r>
      <w:r>
        <w:rPr>
          <w:rFonts w:hint="eastAsia" w:ascii="仿宋_GB2312" w:eastAsia="仿宋_GB2312"/>
          <w:color w:val="333333"/>
        </w:rPr>
        <w:t>15</w:t>
      </w:r>
      <w:r>
        <w:rPr>
          <w:rFonts w:ascii="仿宋_GB2312" w:eastAsia="仿宋_GB2312"/>
          <w:color w:val="333333"/>
        </w:rPr>
        <w:t>%。</w:t>
      </w:r>
    </w:p>
    <w:p>
      <w:pPr>
        <w:tabs>
          <w:tab w:val="left" w:pos="945"/>
        </w:tabs>
        <w:ind w:firstLine="420" w:firstLineChars="200"/>
        <w:rPr>
          <w:rFonts w:ascii="仿宋_GB2312" w:eastAsia="仿宋_GB2312"/>
          <w:color w:val="333333"/>
        </w:rPr>
      </w:pPr>
      <w:r>
        <w:rPr>
          <w:rFonts w:ascii="仿宋_GB2312" w:eastAsia="仿宋_GB2312"/>
          <w:color w:val="333333"/>
        </w:rPr>
        <w:t>5</w:t>
      </w:r>
      <w:r>
        <w:rPr>
          <w:rFonts w:hint="eastAsia" w:ascii="仿宋_GB2312" w:eastAsia="仿宋_GB2312"/>
          <w:color w:val="333333"/>
        </w:rPr>
        <w:t>.</w:t>
      </w:r>
      <w:r>
        <w:rPr>
          <w:rFonts w:ascii="仿宋_GB2312" w:eastAsia="仿宋_GB2312"/>
          <w:color w:val="333333"/>
        </w:rPr>
        <w:t>本门课程有无特殊要求（包括考生可携带的工具）：无。</w:t>
      </w:r>
    </w:p>
    <w:p>
      <w:pPr>
        <w:tabs>
          <w:tab w:val="left" w:pos="945"/>
        </w:tabs>
        <w:ind w:firstLine="422" w:firstLineChars="200"/>
        <w:rPr>
          <w:rFonts w:ascii="黑体" w:eastAsia="黑体"/>
          <w:b/>
          <w:bCs/>
          <w:color w:val="333333"/>
        </w:rPr>
      </w:pPr>
      <w:r>
        <w:rPr>
          <w:rFonts w:hint="eastAsia" w:ascii="黑体" w:eastAsia="黑体"/>
          <w:b/>
          <w:bCs/>
          <w:color w:val="333333"/>
        </w:rPr>
        <w:t>五、《学生事务管理》课程题型举例</w:t>
      </w:r>
    </w:p>
    <w:p>
      <w:pPr>
        <w:tabs>
          <w:tab w:val="left" w:pos="945"/>
        </w:tabs>
        <w:ind w:firstLine="422" w:firstLineChars="200"/>
        <w:rPr>
          <w:rFonts w:ascii="仿宋_GB2312" w:eastAsia="仿宋_GB2312"/>
          <w:color w:val="333333"/>
        </w:rPr>
      </w:pPr>
      <w:r>
        <w:rPr>
          <w:b/>
          <w:bCs/>
          <w:color w:val="333333"/>
        </w:rPr>
        <w:t>1</w:t>
      </w:r>
      <w:r>
        <w:rPr>
          <w:rFonts w:hint="eastAsia"/>
          <w:b/>
          <w:bCs/>
          <w:color w:val="333333"/>
        </w:rPr>
        <w:t>.</w:t>
      </w:r>
      <w:r>
        <w:rPr>
          <w:rFonts w:hint="eastAsia" w:ascii="黑体" w:eastAsia="黑体"/>
          <w:b/>
          <w:bCs/>
          <w:color w:val="333333"/>
        </w:rPr>
        <w:t>单项选择题</w:t>
      </w:r>
      <w:r>
        <w:rPr>
          <w:rFonts w:hint="eastAsia" w:ascii="仿宋_GB2312" w:eastAsia="仿宋_GB2312"/>
          <w:color w:val="333333"/>
        </w:rPr>
        <w:t>（在每小题列出的四个备选项中只有一个是符合题目要求的，请将其代码填在题后的括号内。错选、多选或未选均无分。）</w:t>
      </w:r>
    </w:p>
    <w:p>
      <w:pPr>
        <w:tabs>
          <w:tab w:val="left" w:pos="945"/>
        </w:tabs>
        <w:ind w:left="630" w:leftChars="200" w:hanging="210" w:hangingChars="100"/>
        <w:rPr>
          <w:rFonts w:ascii="仿宋_GB2312" w:eastAsia="仿宋_GB2312"/>
          <w:color w:val="333333"/>
        </w:rPr>
      </w:pPr>
      <w:r>
        <w:rPr>
          <w:rFonts w:hint="eastAsia" w:ascii="仿宋_GB2312" w:eastAsia="仿宋_GB2312"/>
          <w:color w:val="333333"/>
        </w:rPr>
        <w:t>（</w:t>
      </w:r>
      <w:r>
        <w:rPr>
          <w:rFonts w:ascii="仿宋_GB2312" w:eastAsia="仿宋_GB2312"/>
          <w:color w:val="333333"/>
        </w:rPr>
        <w:t>1）</w:t>
      </w:r>
      <w:r>
        <w:rPr>
          <w:rFonts w:hint="eastAsia" w:ascii="仿宋_GB2312" w:eastAsia="仿宋_GB2312"/>
          <w:color w:val="333333"/>
        </w:rPr>
        <w:t>我们在学校中所要引导学生进行的正确的教育行为</w:t>
      </w:r>
      <w:r>
        <w:rPr>
          <w:rFonts w:hint="eastAsia" w:ascii="仿宋_GB2312" w:eastAsia="仿宋_GB2312"/>
          <w:color w:val="333333"/>
          <w:em w:val="dot"/>
        </w:rPr>
        <w:t>不包括</w:t>
      </w:r>
      <w:r>
        <w:rPr>
          <w:rFonts w:hint="eastAsia" w:ascii="仿宋_GB2312" w:eastAsia="仿宋_GB2312"/>
          <w:color w:val="333333"/>
        </w:rPr>
        <w:t>的方面是</w:t>
      </w:r>
    </w:p>
    <w:p>
      <w:pPr>
        <w:tabs>
          <w:tab w:val="left" w:pos="1161"/>
        </w:tabs>
        <w:ind w:left="630" w:leftChars="200" w:hanging="210" w:hangingChars="100"/>
        <w:rPr>
          <w:rFonts w:ascii="仿宋_GB2312" w:eastAsia="仿宋_GB2312"/>
          <w:color w:val="333333"/>
        </w:rPr>
      </w:pPr>
      <w:r>
        <w:rPr>
          <w:rFonts w:hint="eastAsia" w:ascii="仿宋_GB2312" w:eastAsia="仿宋_GB2312"/>
          <w:color w:val="333333"/>
        </w:rPr>
        <w:t>【</w:t>
      </w:r>
      <w:r>
        <w:rPr>
          <w:rFonts w:ascii="仿宋_GB2312" w:eastAsia="仿宋_GB2312"/>
          <w:color w:val="333333"/>
        </w:rPr>
        <w:tab/>
      </w:r>
      <w:r>
        <w:rPr>
          <w:rFonts w:hint="eastAsia" w:ascii="仿宋_GB2312" w:eastAsia="仿宋_GB2312"/>
          <w:color w:val="333333"/>
        </w:rPr>
        <w:t>】</w:t>
      </w:r>
    </w:p>
    <w:p>
      <w:pPr>
        <w:tabs>
          <w:tab w:val="left" w:pos="945"/>
        </w:tabs>
        <w:ind w:firstLine="420" w:firstLineChars="200"/>
        <w:rPr>
          <w:rFonts w:ascii="仿宋_GB2312" w:eastAsia="仿宋_GB2312"/>
          <w:color w:val="333333"/>
        </w:rPr>
      </w:pPr>
      <w:r>
        <w:rPr>
          <w:rFonts w:ascii="仿宋_GB2312" w:eastAsia="仿宋_GB2312"/>
          <w:color w:val="333333"/>
        </w:rPr>
        <w:t>A.</w:t>
      </w:r>
      <w:r>
        <w:rPr>
          <w:rFonts w:hint="eastAsia" w:ascii="仿宋_GB2312" w:eastAsia="仿宋_GB2312"/>
          <w:color w:val="333333"/>
        </w:rPr>
        <w:t>教育方面</w:t>
      </w:r>
      <w:r>
        <w:rPr>
          <w:rFonts w:ascii="仿宋_GB2312" w:eastAsia="仿宋_GB2312"/>
          <w:color w:val="333333"/>
        </w:rPr>
        <w:tab/>
      </w:r>
      <w:r>
        <w:rPr>
          <w:rFonts w:ascii="仿宋_GB2312" w:eastAsia="仿宋_GB2312"/>
          <w:color w:val="333333"/>
        </w:rPr>
        <w:t xml:space="preserve">B. </w:t>
      </w:r>
      <w:r>
        <w:rPr>
          <w:rFonts w:hint="eastAsia" w:ascii="仿宋_GB2312" w:eastAsia="仿宋_GB2312"/>
          <w:color w:val="333333"/>
        </w:rPr>
        <w:t>管理方面</w:t>
      </w:r>
      <w:r>
        <w:rPr>
          <w:rFonts w:ascii="仿宋_GB2312" w:eastAsia="仿宋_GB2312"/>
          <w:color w:val="333333"/>
        </w:rPr>
        <w:tab/>
      </w:r>
      <w:r>
        <w:rPr>
          <w:rFonts w:hint="eastAsia" w:ascii="仿宋_GB2312" w:eastAsia="仿宋_GB2312"/>
          <w:color w:val="333333"/>
        </w:rPr>
        <w:t xml:space="preserve"> </w:t>
      </w:r>
      <w:r>
        <w:rPr>
          <w:rFonts w:ascii="仿宋_GB2312" w:eastAsia="仿宋_GB2312"/>
          <w:color w:val="333333"/>
        </w:rPr>
        <w:t>C.</w:t>
      </w:r>
      <w:r>
        <w:rPr>
          <w:rFonts w:hint="eastAsia" w:ascii="仿宋_GB2312" w:eastAsia="仿宋_GB2312"/>
          <w:color w:val="333333"/>
        </w:rPr>
        <w:t>服务方面</w:t>
      </w:r>
      <w:r>
        <w:rPr>
          <w:rFonts w:ascii="仿宋_GB2312" w:eastAsia="仿宋_GB2312"/>
          <w:color w:val="333333"/>
        </w:rPr>
        <w:t xml:space="preserve">  D.</w:t>
      </w:r>
      <w:r>
        <w:rPr>
          <w:rFonts w:hint="eastAsia" w:ascii="仿宋_GB2312" w:eastAsia="仿宋_GB2312"/>
          <w:color w:val="333333"/>
        </w:rPr>
        <w:t>奖惩方面</w:t>
      </w:r>
    </w:p>
    <w:p>
      <w:pPr>
        <w:tabs>
          <w:tab w:val="left" w:pos="945"/>
        </w:tabs>
        <w:ind w:firstLine="422" w:firstLineChars="200"/>
        <w:rPr>
          <w:rFonts w:ascii="仿宋_GB2312" w:eastAsia="仿宋_GB2312"/>
          <w:color w:val="333333"/>
        </w:rPr>
      </w:pPr>
      <w:r>
        <w:rPr>
          <w:rFonts w:hint="eastAsia"/>
          <w:b/>
          <w:bCs/>
          <w:color w:val="333333"/>
        </w:rPr>
        <w:t>2.</w:t>
      </w:r>
      <w:r>
        <w:rPr>
          <w:rFonts w:hint="eastAsia" w:ascii="Calibri" w:hAnsi="Calibri" w:eastAsia="宋体" w:cs="Times New Roman"/>
          <w:b/>
          <w:bCs/>
          <w:color w:val="333333"/>
        </w:rPr>
        <w:t>多项选择题</w:t>
      </w:r>
      <w:r>
        <w:rPr>
          <w:rFonts w:hint="eastAsia" w:ascii="仿宋_GB2312" w:eastAsia="仿宋_GB2312"/>
          <w:color w:val="333333"/>
        </w:rPr>
        <w:t>（</w:t>
      </w:r>
      <w:r>
        <w:rPr>
          <w:rFonts w:hint="eastAsia" w:ascii="仿宋_GB2312" w:hAnsi="Calibri" w:eastAsia="仿宋_GB2312" w:cs="Times New Roman"/>
          <w:color w:val="333333"/>
        </w:rPr>
        <w:t>在每小题列出的备选项中</w:t>
      </w:r>
      <w:r>
        <w:rPr>
          <w:rFonts w:hint="eastAsia" w:ascii="仿宋_GB2312" w:eastAsia="仿宋_GB2312"/>
          <w:color w:val="333333"/>
        </w:rPr>
        <w:t>至少有两项是符合题目要求的，请将其选出，错选、多选或少选均无分。）</w:t>
      </w:r>
    </w:p>
    <w:p>
      <w:pPr>
        <w:tabs>
          <w:tab w:val="left" w:pos="945"/>
        </w:tabs>
        <w:ind w:firstLine="420" w:firstLineChars="200"/>
        <w:rPr>
          <w:rFonts w:ascii="仿宋_GB2312" w:eastAsia="仿宋_GB2312"/>
          <w:color w:val="333333"/>
        </w:rPr>
      </w:pPr>
      <w:r>
        <w:rPr>
          <w:rFonts w:hint="eastAsia" w:ascii="仿宋_GB2312" w:eastAsia="仿宋_GB2312"/>
          <w:color w:val="333333"/>
        </w:rPr>
        <w:t>（1</w:t>
      </w:r>
      <w:r>
        <w:rPr>
          <w:rFonts w:ascii="仿宋_GB2312" w:eastAsia="仿宋_GB2312"/>
          <w:color w:val="333333"/>
        </w:rPr>
        <w:t>）</w:t>
      </w:r>
      <w:r>
        <w:rPr>
          <w:rFonts w:hint="eastAsia" w:ascii="仿宋_GB2312" w:eastAsia="仿宋_GB2312"/>
          <w:color w:val="333333"/>
        </w:rPr>
        <w:t>教学事务管理的特点有【</w:t>
      </w:r>
      <w:r>
        <w:rPr>
          <w:rFonts w:ascii="仿宋_GB2312" w:eastAsia="仿宋_GB2312"/>
          <w:color w:val="333333"/>
        </w:rPr>
        <w:tab/>
      </w:r>
      <w:r>
        <w:rPr>
          <w:rFonts w:ascii="仿宋_GB2312" w:eastAsia="仿宋_GB2312"/>
          <w:color w:val="333333"/>
        </w:rPr>
        <w:tab/>
      </w:r>
      <w:r>
        <w:rPr>
          <w:rFonts w:hint="eastAsia" w:ascii="仿宋_GB2312" w:eastAsia="仿宋_GB2312"/>
          <w:color w:val="333333"/>
        </w:rPr>
        <w:t>】</w:t>
      </w:r>
    </w:p>
    <w:p>
      <w:pPr>
        <w:tabs>
          <w:tab w:val="left" w:pos="945"/>
        </w:tabs>
        <w:ind w:firstLine="420" w:firstLineChars="200"/>
        <w:rPr>
          <w:rFonts w:ascii="仿宋_GB2312" w:eastAsia="仿宋_GB2312"/>
          <w:color w:val="333333"/>
        </w:rPr>
      </w:pPr>
      <w:r>
        <w:rPr>
          <w:rFonts w:ascii="仿宋_GB2312" w:eastAsia="仿宋_GB2312"/>
          <w:color w:val="333333"/>
        </w:rPr>
        <w:t>A.</w:t>
      </w:r>
      <w:r>
        <w:rPr>
          <w:rFonts w:hint="eastAsia" w:ascii="仿宋_GB2312" w:eastAsia="仿宋_GB2312"/>
          <w:color w:val="333333"/>
        </w:rPr>
        <w:t xml:space="preserve">科学性与艺术性   </w:t>
      </w:r>
      <w:r>
        <w:rPr>
          <w:rFonts w:ascii="仿宋_GB2312" w:eastAsia="仿宋_GB2312"/>
          <w:color w:val="333333"/>
        </w:rPr>
        <w:t>B.</w:t>
      </w:r>
      <w:r>
        <w:rPr>
          <w:rFonts w:hint="eastAsia" w:ascii="仿宋_GB2312" w:eastAsia="仿宋_GB2312"/>
          <w:color w:val="333333"/>
        </w:rPr>
        <w:t xml:space="preserve">普遍性与特殊性    </w:t>
      </w:r>
      <w:r>
        <w:rPr>
          <w:rFonts w:ascii="仿宋_GB2312" w:eastAsia="仿宋_GB2312"/>
          <w:color w:val="333333"/>
        </w:rPr>
        <w:t>C.</w:t>
      </w:r>
      <w:r>
        <w:rPr>
          <w:rFonts w:hint="eastAsia" w:ascii="仿宋_GB2312" w:eastAsia="仿宋_GB2312"/>
          <w:color w:val="333333"/>
        </w:rPr>
        <w:t>事实性</w:t>
      </w:r>
      <w:r>
        <w:rPr>
          <w:rFonts w:ascii="仿宋_GB2312" w:eastAsia="仿宋_GB2312"/>
          <w:color w:val="333333"/>
        </w:rPr>
        <w:tab/>
      </w:r>
      <w:r>
        <w:rPr>
          <w:rFonts w:hint="eastAsia" w:ascii="仿宋_GB2312" w:eastAsia="仿宋_GB2312"/>
          <w:color w:val="333333"/>
        </w:rPr>
        <w:t xml:space="preserve">  </w:t>
      </w:r>
      <w:r>
        <w:rPr>
          <w:rFonts w:ascii="仿宋_GB2312" w:eastAsia="仿宋_GB2312"/>
          <w:color w:val="333333"/>
        </w:rPr>
        <w:t>D.</w:t>
      </w:r>
      <w:r>
        <w:rPr>
          <w:rFonts w:hint="eastAsia" w:ascii="仿宋_GB2312" w:eastAsia="仿宋_GB2312"/>
          <w:color w:val="333333"/>
        </w:rPr>
        <w:t>教育与管理双重属性</w:t>
      </w:r>
    </w:p>
    <w:p>
      <w:pPr>
        <w:tabs>
          <w:tab w:val="left" w:pos="945"/>
        </w:tabs>
        <w:ind w:firstLine="422" w:firstLineChars="200"/>
        <w:rPr>
          <w:rFonts w:ascii="黑体" w:hAnsi="Calibri" w:eastAsia="黑体" w:cs="Times New Roman"/>
          <w:b/>
          <w:bCs/>
          <w:color w:val="333333"/>
        </w:rPr>
      </w:pPr>
      <w:r>
        <w:rPr>
          <w:rFonts w:hint="eastAsia"/>
          <w:b/>
          <w:bCs/>
          <w:color w:val="333333"/>
        </w:rPr>
        <w:t>3.</w:t>
      </w:r>
      <w:r>
        <w:rPr>
          <w:rFonts w:hint="eastAsia" w:ascii="Calibri" w:hAnsi="Calibri" w:eastAsia="宋体" w:cs="Times New Roman"/>
          <w:b/>
          <w:bCs/>
          <w:color w:val="333333"/>
        </w:rPr>
        <w:t>填空题</w:t>
      </w:r>
      <w:r>
        <w:rPr>
          <w:rFonts w:hint="eastAsia" w:ascii="黑体" w:eastAsia="黑体"/>
          <w:b/>
          <w:bCs/>
          <w:color w:val="333333"/>
        </w:rPr>
        <w:t xml:space="preserve"> </w:t>
      </w:r>
    </w:p>
    <w:p>
      <w:pPr>
        <w:tabs>
          <w:tab w:val="left" w:pos="945"/>
        </w:tabs>
        <w:ind w:firstLine="420" w:firstLineChars="200"/>
        <w:jc w:val="distribute"/>
        <w:rPr>
          <w:rFonts w:ascii="仿宋_GB2312" w:eastAsia="仿宋_GB2312"/>
          <w:color w:val="333333"/>
        </w:rPr>
      </w:pPr>
      <w:r>
        <w:rPr>
          <w:rFonts w:hint="eastAsia"/>
        </w:rPr>
        <w:t>（1）</w:t>
      </w:r>
      <w:r>
        <w:rPr>
          <w:rFonts w:hint="eastAsia" w:ascii="仿宋_GB2312" w:hAnsi="Calibri" w:eastAsia="仿宋_GB2312" w:cs="Times New Roman"/>
          <w:color w:val="333333"/>
        </w:rPr>
        <w:t>经过近40年的发展，我国高校学生工作体系已由单一的思想政治教育演变为</w:t>
      </w:r>
    </w:p>
    <w:p>
      <w:pPr>
        <w:tabs>
          <w:tab w:val="left" w:pos="945"/>
        </w:tabs>
        <w:ind w:firstLine="420" w:firstLineChars="200"/>
        <w:rPr>
          <w:rFonts w:hint="eastAsia" w:ascii="仿宋_GB2312" w:hAnsi="Calibri" w:eastAsia="仿宋_GB2312" w:cs="Times New Roman"/>
          <w:color w:val="333333"/>
        </w:rPr>
      </w:pPr>
      <w:r>
        <w:rPr>
          <w:rFonts w:hint="eastAsia"/>
        </w:rPr>
        <w:t xml:space="preserve">     </w:t>
      </w:r>
      <w:r>
        <w:rPr>
          <w:rFonts w:hint="eastAsia"/>
          <w:u w:val="single"/>
        </w:rPr>
        <w:t xml:space="preserve">               </w:t>
      </w:r>
      <w:r>
        <w:rPr>
          <w:rFonts w:hint="eastAsia" w:ascii="仿宋_GB2312" w:hAnsi="Calibri" w:eastAsia="仿宋_GB2312" w:cs="Times New Roman"/>
          <w:color w:val="333333"/>
        </w:rPr>
        <w:t>和</w:t>
      </w:r>
      <w:r>
        <w:rPr>
          <w:rFonts w:hint="eastAsia" w:ascii="Calibri" w:hAnsi="Calibri" w:eastAsia="宋体" w:cs="Times New Roman"/>
          <w:u w:val="single"/>
        </w:rPr>
        <w:t xml:space="preserve">            </w:t>
      </w:r>
      <w:r>
        <w:rPr>
          <w:rFonts w:hint="eastAsia" w:ascii="仿宋_GB2312" w:hAnsi="Calibri" w:eastAsia="仿宋_GB2312" w:cs="Times New Roman"/>
          <w:color w:val="333333"/>
        </w:rPr>
        <w:t>两个子系统构成。</w:t>
      </w:r>
    </w:p>
    <w:p>
      <w:pPr>
        <w:tabs>
          <w:tab w:val="left" w:pos="945"/>
        </w:tabs>
        <w:ind w:firstLine="422" w:firstLineChars="200"/>
        <w:rPr>
          <w:b/>
          <w:bCs/>
          <w:color w:val="333333"/>
        </w:rPr>
      </w:pPr>
      <w:r>
        <w:rPr>
          <w:rFonts w:hint="eastAsia"/>
          <w:b/>
          <w:bCs/>
          <w:color w:val="333333"/>
        </w:rPr>
        <w:t>4.名词解释题</w:t>
      </w:r>
    </w:p>
    <w:p>
      <w:pPr>
        <w:tabs>
          <w:tab w:val="left" w:pos="945"/>
        </w:tabs>
        <w:ind w:firstLine="420" w:firstLineChars="200"/>
        <w:rPr>
          <w:rFonts w:ascii="仿宋_GB2312" w:eastAsia="仿宋_GB2312"/>
          <w:color w:val="333333"/>
        </w:rPr>
      </w:pPr>
      <w:r>
        <w:rPr>
          <w:rFonts w:hint="eastAsia" w:ascii="仿宋_GB2312" w:eastAsia="仿宋_GB2312"/>
          <w:color w:val="333333"/>
        </w:rPr>
        <w:t>（1）学生事务管理</w:t>
      </w:r>
    </w:p>
    <w:p>
      <w:pPr>
        <w:tabs>
          <w:tab w:val="left" w:pos="945"/>
        </w:tabs>
        <w:ind w:firstLine="422" w:firstLineChars="200"/>
        <w:rPr>
          <w:b/>
          <w:bCs/>
          <w:color w:val="333333"/>
        </w:rPr>
      </w:pPr>
      <w:r>
        <w:rPr>
          <w:rFonts w:hint="eastAsia"/>
          <w:b/>
          <w:bCs/>
          <w:color w:val="333333"/>
        </w:rPr>
        <w:t>5.简答题</w:t>
      </w:r>
    </w:p>
    <w:p>
      <w:pPr>
        <w:tabs>
          <w:tab w:val="left" w:pos="945"/>
        </w:tabs>
        <w:ind w:firstLine="420" w:firstLineChars="200"/>
        <w:rPr>
          <w:rFonts w:ascii="仿宋_GB2312" w:eastAsia="仿宋_GB2312"/>
          <w:color w:val="333333"/>
        </w:rPr>
      </w:pPr>
      <w:r>
        <w:rPr>
          <w:rFonts w:hint="eastAsia" w:ascii="仿宋_GB2312" w:eastAsia="仿宋_GB2312"/>
          <w:color w:val="333333"/>
        </w:rPr>
        <w:t>（1）简述我国高校学生管理事务的目标。</w:t>
      </w:r>
    </w:p>
    <w:p>
      <w:pPr>
        <w:tabs>
          <w:tab w:val="left" w:pos="945"/>
        </w:tabs>
        <w:ind w:firstLine="422" w:firstLineChars="200"/>
        <w:rPr>
          <w:b/>
          <w:bCs/>
          <w:color w:val="333333"/>
        </w:rPr>
      </w:pPr>
      <w:r>
        <w:rPr>
          <w:rFonts w:hint="eastAsia"/>
          <w:b/>
          <w:bCs/>
          <w:color w:val="333333"/>
        </w:rPr>
        <w:t>6.论述题</w:t>
      </w:r>
    </w:p>
    <w:p>
      <w:pPr>
        <w:tabs>
          <w:tab w:val="left" w:pos="945"/>
        </w:tabs>
        <w:ind w:firstLine="420" w:firstLineChars="200"/>
        <w:rPr>
          <w:rFonts w:ascii="仿宋_GB2312" w:eastAsia="仿宋_GB2312"/>
          <w:color w:val="333333"/>
        </w:rPr>
      </w:pPr>
      <w:r>
        <w:rPr>
          <w:rFonts w:hint="eastAsia" w:ascii="仿宋_GB2312" w:eastAsia="仿宋_GB2312"/>
          <w:color w:val="333333"/>
        </w:rPr>
        <w:t>（1）论述我国高校学生事务管理方法的原则。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UyY2U4NDdhOGIwZjBhMmU3YWU1YzA1YjFkODU1OGMifQ=="/>
  </w:docVars>
  <w:rsids>
    <w:rsidRoot w:val="38B907BB"/>
    <w:rsid w:val="00065242"/>
    <w:rsid w:val="00117A56"/>
    <w:rsid w:val="0039337B"/>
    <w:rsid w:val="007835B3"/>
    <w:rsid w:val="008E01EA"/>
    <w:rsid w:val="00A448B8"/>
    <w:rsid w:val="00A66F9F"/>
    <w:rsid w:val="00CB6365"/>
    <w:rsid w:val="00DC7FE3"/>
    <w:rsid w:val="00E743B2"/>
    <w:rsid w:val="00EF6731"/>
    <w:rsid w:val="00F63FFA"/>
    <w:rsid w:val="015657AD"/>
    <w:rsid w:val="0E124C7E"/>
    <w:rsid w:val="11EC1F7A"/>
    <w:rsid w:val="15AA26BA"/>
    <w:rsid w:val="1B013245"/>
    <w:rsid w:val="268D5392"/>
    <w:rsid w:val="37626DD6"/>
    <w:rsid w:val="38B907BB"/>
    <w:rsid w:val="39DA6A6C"/>
    <w:rsid w:val="3EEF22EE"/>
    <w:rsid w:val="47527C17"/>
    <w:rsid w:val="491832BC"/>
    <w:rsid w:val="49F17548"/>
    <w:rsid w:val="4F0C1887"/>
    <w:rsid w:val="5354728B"/>
    <w:rsid w:val="674B4660"/>
    <w:rsid w:val="67AE3129"/>
    <w:rsid w:val="6B446F96"/>
    <w:rsid w:val="6BE94A51"/>
    <w:rsid w:val="6D8C033A"/>
    <w:rsid w:val="6FBE1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autoRedefine/>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7">
    <w:name w:val="页脚 Char"/>
    <w:basedOn w:val="5"/>
    <w:link w:val="2"/>
    <w:autoRedefine/>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315</Words>
  <Characters>1798</Characters>
  <Lines>14</Lines>
  <Paragraphs>4</Paragraphs>
  <TotalTime>16</TotalTime>
  <ScaleCrop>false</ScaleCrop>
  <LinksUpToDate>false</LinksUpToDate>
  <CharactersWithSpaces>2109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2023-04-18T09:56:00Z</dcterms:created>
  <dc:creator>中羽</dc:creator>
  <cp:lastModifiedBy>云和山的彼端</cp:lastModifiedBy>
  <dcterms:modified xsi:type="dcterms:W3CDTF">2024-04-29T01:49:30Z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874AD6C468494213A0AA20FC1942EED3_13</vt:lpwstr>
  </property>
</Properties>
</file>