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91" w:firstLine="1687" w:firstLineChars="800"/>
        <w:rPr>
          <w:rFonts w:ascii="方正仿宋简体" w:eastAsia="黑体"/>
          <w:color w:val="333333"/>
        </w:rPr>
      </w:pPr>
      <w:r>
        <w:rPr>
          <w:rFonts w:hint="eastAsia" w:ascii="黑体" w:eastAsia="黑体"/>
          <w:b/>
          <w:bCs/>
          <w:color w:val="333333"/>
        </w:rPr>
        <w:t>《侵权责任法》（课程代码：14081 ）课程考试大纲</w:t>
      </w:r>
    </w:p>
    <w:p>
      <w:pPr>
        <w:ind w:right="41" w:firstLine="420" w:firstLineChars="200"/>
        <w:rPr>
          <w:rFonts w:ascii="仿宋_GB2312" w:eastAsia="仿宋_GB2312"/>
          <w:color w:val="333333"/>
        </w:rPr>
      </w:pPr>
      <w:r>
        <w:rPr>
          <w:rFonts w:ascii="仿宋_GB2312" w:eastAsia="仿宋_GB2312"/>
          <w:color w:val="333333"/>
        </w:rPr>
        <w:t> </w:t>
      </w:r>
    </w:p>
    <w:p>
      <w:pPr>
        <w:ind w:right="41" w:firstLine="420" w:firstLineChars="200"/>
        <w:rPr>
          <w:rFonts w:ascii="仿宋_GB2312" w:eastAsia="仿宋_GB2312"/>
          <w:color w:val="333333"/>
        </w:rPr>
      </w:pPr>
      <w:r>
        <w:rPr>
          <w:rFonts w:hint="eastAsia" w:ascii="仿宋_GB2312" w:eastAsia="仿宋_GB2312"/>
          <w:color w:val="333333"/>
        </w:rPr>
        <w:t>高等教育自学考试是对自学者进行的以学历教育为主的国家考试，是个人自学、社会助学和国家考试相结合的高等教育形式。按照</w:t>
      </w:r>
      <w:r>
        <w:rPr>
          <w:rFonts w:hint="eastAsia" w:ascii="仿宋_GB2312" w:eastAsia="仿宋_GB2312"/>
          <w:color w:val="333333"/>
          <w:lang w:val="en-US" w:eastAsia="zh-CN"/>
        </w:rPr>
        <w:t>自学考试</w:t>
      </w:r>
      <w:r>
        <w:rPr>
          <w:rFonts w:hint="eastAsia" w:ascii="仿宋_GB2312" w:eastAsia="仿宋_GB2312"/>
          <w:color w:val="333333"/>
        </w:rPr>
        <w:t>课程命题的有关规定，制定本大纲。</w:t>
      </w:r>
      <w:bookmarkStart w:id="0" w:name="_GoBack"/>
      <w:bookmarkEnd w:id="0"/>
    </w:p>
    <w:p>
      <w:pPr>
        <w:ind w:right="41" w:firstLine="422" w:firstLineChars="200"/>
        <w:rPr>
          <w:rFonts w:ascii="黑体" w:eastAsia="黑体"/>
          <w:b/>
          <w:bCs/>
          <w:color w:val="333333"/>
        </w:rPr>
      </w:pPr>
      <w:r>
        <w:rPr>
          <w:rFonts w:hint="eastAsia" w:ascii="黑体" w:eastAsia="黑体"/>
          <w:b/>
          <w:bCs/>
          <w:color w:val="333333"/>
        </w:rPr>
        <w:t>一、课程性质和考试目标</w:t>
      </w:r>
    </w:p>
    <w:p>
      <w:pPr>
        <w:ind w:right="41" w:firstLine="420" w:firstLineChars="200"/>
        <w:rPr>
          <w:rFonts w:ascii="仿宋_GB2312" w:eastAsia="仿宋_GB2312"/>
          <w:color w:val="333333"/>
        </w:rPr>
      </w:pPr>
      <w:r>
        <w:rPr>
          <w:rFonts w:ascii="仿宋_GB2312" w:eastAsia="仿宋_GB2312"/>
          <w:color w:val="333333"/>
        </w:rPr>
        <w:t>1．课程性质</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《侵权责任法》课程是福建省高等教育自学考试法学专业（本科）的必设课程，是向自学者传授和培养侵权责任法基本理论、基本知识和应用能力而设置的一门主干课程。</w:t>
      </w:r>
    </w:p>
    <w:p>
      <w:pPr>
        <w:ind w:right="41" w:firstLine="420" w:firstLineChars="200"/>
        <w:rPr>
          <w:rFonts w:ascii="仿宋_GB2312" w:eastAsia="仿宋_GB2312"/>
          <w:color w:val="333333"/>
        </w:rPr>
      </w:pPr>
      <w:r>
        <w:rPr>
          <w:rFonts w:ascii="仿宋_GB2312" w:eastAsia="仿宋_GB2312"/>
          <w:color w:val="333333"/>
        </w:rPr>
        <w:t>2．考试目标</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通过自学和考试，使自学者比较全面系统地掌握侵权责任法的基本理论、基本知识，并联系实际强化训练，从而提高对侵权行为法的认识，提高保护他人民事权益的水平。</w:t>
      </w:r>
    </w:p>
    <w:p>
      <w:pPr>
        <w:ind w:right="41" w:firstLine="422" w:firstLineChars="200"/>
        <w:rPr>
          <w:rFonts w:ascii="黑体" w:eastAsia="黑体"/>
          <w:b/>
          <w:bCs/>
          <w:color w:val="333333"/>
        </w:rPr>
      </w:pPr>
    </w:p>
    <w:p>
      <w:pPr>
        <w:ind w:right="41" w:firstLine="422" w:firstLineChars="200"/>
        <w:rPr>
          <w:rFonts w:ascii="黑体" w:eastAsia="黑体"/>
          <w:b/>
          <w:bCs/>
          <w:color w:val="333333"/>
        </w:rPr>
      </w:pPr>
      <w:r>
        <w:rPr>
          <w:rFonts w:hint="eastAsia" w:ascii="黑体" w:eastAsia="黑体"/>
          <w:b/>
          <w:bCs/>
          <w:color w:val="333333"/>
        </w:rPr>
        <w:t>二、考试内容和考核要求</w:t>
      </w:r>
    </w:p>
    <w:p>
      <w:pPr>
        <w:ind w:right="41"/>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《侵权责任法》课程的考试内容以课程考试大纲为依据。其内容为：</w:t>
      </w:r>
    </w:p>
    <w:p>
      <w:pPr>
        <w:ind w:right="41" w:firstLine="420" w:firstLineChars="200"/>
        <w:rPr>
          <w:rFonts w:ascii="仿宋_GB2312" w:eastAsia="仿宋_GB2312"/>
          <w:color w:val="333333"/>
        </w:rPr>
      </w:pPr>
      <w:r>
        <w:rPr>
          <w:rFonts w:hint="eastAsia" w:ascii="仿宋_GB2312" w:eastAsia="仿宋_GB2312"/>
          <w:color w:val="333333"/>
        </w:rPr>
        <w:t>第一章“侵权责任概述”需要掌握：侵权行为；侵权责任；侵权请求权；侵权责任类型；侵权责任的特殊形态。</w:t>
      </w:r>
    </w:p>
    <w:p>
      <w:pPr>
        <w:ind w:right="41" w:firstLine="420" w:firstLineChars="200"/>
        <w:rPr>
          <w:rFonts w:ascii="仿宋_GB2312" w:eastAsia="仿宋_GB2312"/>
          <w:color w:val="333333"/>
        </w:rPr>
      </w:pPr>
      <w:r>
        <w:rPr>
          <w:rFonts w:hint="eastAsia" w:ascii="仿宋_GB2312" w:eastAsia="仿宋_GB2312"/>
          <w:color w:val="333333"/>
        </w:rPr>
        <w:t>第二章“侵权责任法概述”需要掌握：侵权责任法的概念和功能；侵权责任法保护对象；侵权责任法渊源。</w:t>
      </w:r>
    </w:p>
    <w:p>
      <w:pPr>
        <w:ind w:right="41" w:firstLine="420" w:firstLineChars="200"/>
        <w:rPr>
          <w:rFonts w:ascii="仿宋_GB2312" w:eastAsia="仿宋_GB2312"/>
          <w:color w:val="333333"/>
        </w:rPr>
      </w:pPr>
      <w:r>
        <w:rPr>
          <w:rFonts w:hint="eastAsia" w:ascii="仿宋_GB2312" w:eastAsia="仿宋_GB2312"/>
          <w:color w:val="333333"/>
        </w:rPr>
        <w:t>第三章“归责原则”需要掌握：归责原则概念；过错责任原则；过错推定责任；严格责任原则。</w:t>
      </w:r>
    </w:p>
    <w:p>
      <w:pPr>
        <w:ind w:right="41" w:firstLine="420" w:firstLineChars="200"/>
        <w:rPr>
          <w:rFonts w:ascii="仿宋_GB2312" w:eastAsia="仿宋_GB2312"/>
          <w:color w:val="333333"/>
        </w:rPr>
      </w:pPr>
      <w:r>
        <w:rPr>
          <w:rFonts w:hint="eastAsia" w:ascii="仿宋_GB2312" w:eastAsia="仿宋_GB2312"/>
          <w:color w:val="333333"/>
        </w:rPr>
        <w:t>第四章“侵权责任构成要件”需要掌握：侵权责任构成要件学说；损害；过错；因果关系。</w:t>
      </w:r>
    </w:p>
    <w:p>
      <w:pPr>
        <w:ind w:right="41" w:firstLine="420" w:firstLineChars="200"/>
        <w:rPr>
          <w:rFonts w:ascii="仿宋_GB2312" w:eastAsia="仿宋_GB2312"/>
          <w:color w:val="333333"/>
        </w:rPr>
      </w:pPr>
      <w:r>
        <w:rPr>
          <w:rFonts w:hint="eastAsia" w:ascii="仿宋_GB2312" w:eastAsia="仿宋_GB2312"/>
          <w:color w:val="333333"/>
        </w:rPr>
        <w:t>第五章“免责和减责事由”需要掌握：免责和减责事由概念：受害人故意、第三人原因、自甘风险、自助行为；过失相抵。</w:t>
      </w:r>
    </w:p>
    <w:p>
      <w:pPr>
        <w:ind w:right="41" w:firstLine="420" w:firstLineChars="200"/>
        <w:rPr>
          <w:rFonts w:ascii="仿宋_GB2312" w:eastAsia="仿宋_GB2312"/>
          <w:color w:val="333333"/>
        </w:rPr>
      </w:pPr>
      <w:r>
        <w:rPr>
          <w:rFonts w:hint="eastAsia" w:ascii="仿宋_GB2312" w:eastAsia="仿宋_GB2312"/>
          <w:color w:val="333333"/>
        </w:rPr>
        <w:t>第六章“数人侵权责任”需要掌握：共同侵权行为；教唆和帮助行为；共同危险行为；无意思联络数人侵权行为</w:t>
      </w:r>
      <w:r>
        <w:rPr>
          <w:rFonts w:ascii="仿宋_GB2312" w:eastAsia="仿宋_GB2312"/>
          <w:color w:val="333333"/>
        </w:rPr>
        <w:t>。</w:t>
      </w:r>
    </w:p>
    <w:p>
      <w:pPr>
        <w:ind w:right="41" w:firstLine="420" w:firstLineChars="200"/>
        <w:rPr>
          <w:rFonts w:ascii="仿宋_GB2312" w:eastAsia="仿宋_GB2312"/>
          <w:color w:val="333333"/>
        </w:rPr>
      </w:pPr>
      <w:r>
        <w:rPr>
          <w:rFonts w:hint="eastAsia" w:ascii="仿宋_GB2312" w:eastAsia="仿宋_GB2312"/>
          <w:color w:val="333333"/>
        </w:rPr>
        <w:t>第七章“侵权损害赔偿”需要掌握：财产损害赔偿、精神损害赔偿和惩罚性赔偿。</w:t>
      </w:r>
    </w:p>
    <w:p>
      <w:pPr>
        <w:ind w:right="41" w:firstLine="420" w:firstLineChars="200"/>
        <w:rPr>
          <w:rFonts w:ascii="仿宋_GB2312" w:eastAsia="仿宋_GB2312"/>
          <w:color w:val="333333"/>
        </w:rPr>
      </w:pPr>
      <w:r>
        <w:rPr>
          <w:rFonts w:hint="eastAsia" w:ascii="仿宋_GB2312" w:eastAsia="仿宋_GB2312"/>
          <w:color w:val="333333"/>
        </w:rPr>
        <w:t>第八章“监护人责任”需要掌握：监护人责任的构成要件；监护人责任的承担；被监护人的公平责任</w:t>
      </w:r>
      <w:r>
        <w:rPr>
          <w:rFonts w:ascii="仿宋_GB2312" w:eastAsia="仿宋_GB2312"/>
          <w:color w:val="333333"/>
        </w:rPr>
        <w:t>。</w:t>
      </w:r>
    </w:p>
    <w:p>
      <w:pPr>
        <w:ind w:right="41" w:firstLine="420" w:firstLineChars="200"/>
        <w:rPr>
          <w:rFonts w:ascii="仿宋_GB2312" w:eastAsia="仿宋_GB2312"/>
          <w:color w:val="333333"/>
        </w:rPr>
      </w:pPr>
      <w:r>
        <w:rPr>
          <w:rFonts w:hint="eastAsia" w:ascii="仿宋_GB2312" w:eastAsia="仿宋_GB2312"/>
          <w:color w:val="333333"/>
        </w:rPr>
        <w:t>第九章“用工责任”需要掌握：单位用工责任；个人用工责任。</w:t>
      </w:r>
    </w:p>
    <w:p>
      <w:pPr>
        <w:ind w:right="41" w:firstLine="420" w:firstLineChars="200"/>
        <w:rPr>
          <w:rFonts w:ascii="仿宋_GB2312" w:eastAsia="仿宋_GB2312"/>
          <w:color w:val="333333"/>
        </w:rPr>
      </w:pPr>
      <w:r>
        <w:rPr>
          <w:rFonts w:hint="eastAsia" w:ascii="仿宋_GB2312" w:eastAsia="仿宋_GB2312"/>
          <w:color w:val="333333"/>
        </w:rPr>
        <w:t>第十章“定作人的侵权责任”需要掌握：定作人侵权责任构成要件。</w:t>
      </w:r>
    </w:p>
    <w:p>
      <w:pPr>
        <w:ind w:right="41" w:firstLine="420" w:firstLineChars="200"/>
        <w:rPr>
          <w:rFonts w:ascii="仿宋_GB2312" w:eastAsia="仿宋_GB2312"/>
          <w:color w:val="333333"/>
        </w:rPr>
      </w:pPr>
      <w:r>
        <w:rPr>
          <w:rFonts w:hint="eastAsia" w:ascii="仿宋_GB2312" w:eastAsia="仿宋_GB2312"/>
          <w:color w:val="333333"/>
        </w:rPr>
        <w:t>第十一章“网络侵权责任”需要掌握：网络用户和网络服务提供者的单独侵权责任；通知规则与反通知规则；知道规则。</w:t>
      </w:r>
    </w:p>
    <w:p>
      <w:pPr>
        <w:ind w:right="41" w:firstLine="420" w:firstLineChars="200"/>
        <w:rPr>
          <w:rFonts w:ascii="仿宋_GB2312" w:eastAsia="仿宋_GB2312"/>
          <w:color w:val="333333"/>
        </w:rPr>
      </w:pPr>
      <w:r>
        <w:rPr>
          <w:rFonts w:hint="eastAsia" w:ascii="仿宋_GB2312" w:eastAsia="仿宋_GB2312"/>
          <w:color w:val="333333"/>
        </w:rPr>
        <w:t>第十二章“违反安全保障义务的责任”需要掌握：违反安全保障义务责任的归责原则；违反安全保障义务责任的构成要件；违反安全保障义务的类型及其责任。</w:t>
      </w:r>
    </w:p>
    <w:p>
      <w:pPr>
        <w:ind w:right="41" w:firstLine="420" w:firstLineChars="200"/>
        <w:rPr>
          <w:rFonts w:ascii="仿宋_GB2312" w:eastAsia="仿宋_GB2312"/>
          <w:color w:val="333333"/>
        </w:rPr>
      </w:pPr>
      <w:r>
        <w:rPr>
          <w:rFonts w:hint="eastAsia" w:ascii="仿宋_GB2312" w:eastAsia="仿宋_GB2312"/>
          <w:color w:val="333333"/>
        </w:rPr>
        <w:t>第十三章“教育机构的责任”需要掌握：校内人员致学生人身损害的责任；校外第三人致学生人身损害的责任。</w:t>
      </w:r>
    </w:p>
    <w:p>
      <w:pPr>
        <w:ind w:right="41" w:firstLine="420" w:firstLineChars="200"/>
        <w:rPr>
          <w:rFonts w:ascii="仿宋_GB2312" w:eastAsia="仿宋_GB2312"/>
          <w:color w:val="333333"/>
        </w:rPr>
      </w:pPr>
      <w:r>
        <w:rPr>
          <w:rFonts w:hint="eastAsia" w:ascii="仿宋_GB2312" w:eastAsia="仿宋_GB2312"/>
          <w:color w:val="333333"/>
        </w:rPr>
        <w:t>第十四章“产品责任”需要掌握：产品责任概念；产品责任构成要件；产品责任减免事由；产品责任的承担及其方式；召回义务；惩罚性赔偿。</w:t>
      </w:r>
    </w:p>
    <w:p>
      <w:pPr>
        <w:ind w:right="41" w:firstLine="420" w:firstLineChars="200"/>
        <w:rPr>
          <w:rFonts w:ascii="仿宋_GB2312" w:eastAsia="仿宋_GB2312"/>
          <w:color w:val="333333"/>
        </w:rPr>
      </w:pPr>
      <w:r>
        <w:rPr>
          <w:rFonts w:hint="eastAsia" w:ascii="仿宋_GB2312" w:eastAsia="仿宋_GB2312"/>
          <w:color w:val="333333"/>
        </w:rPr>
        <w:t>第十五章“机动车交通事故责任”需要掌握：交通事故责任的归责原则；机动车交通事故责任的构成要件和免责事由；机动车交通事故责任承担的特殊情形；好意同乘；机动车交通事故责任的承担。</w:t>
      </w:r>
    </w:p>
    <w:p>
      <w:pPr>
        <w:ind w:right="41" w:firstLine="420" w:firstLineChars="200"/>
        <w:rPr>
          <w:rFonts w:ascii="仿宋_GB2312" w:eastAsia="仿宋_GB2312"/>
          <w:color w:val="333333"/>
        </w:rPr>
      </w:pPr>
      <w:r>
        <w:rPr>
          <w:rFonts w:hint="eastAsia" w:ascii="仿宋_GB2312" w:eastAsia="仿宋_GB2312"/>
          <w:color w:val="333333"/>
        </w:rPr>
        <w:t>第十六章“医疗损害责任”需要掌握：医疗损害责任概念；医疗损害责任归责原则和构成要件；特殊情形下的过错推定责任；医疗领域内的特殊产品责任；侵害患者隐私权和个人信息的责任；免责事由。</w:t>
      </w:r>
    </w:p>
    <w:p>
      <w:pPr>
        <w:ind w:right="41" w:firstLine="420" w:firstLineChars="200"/>
        <w:rPr>
          <w:rFonts w:ascii="仿宋_GB2312" w:eastAsia="仿宋_GB2312"/>
          <w:color w:val="333333"/>
        </w:rPr>
      </w:pPr>
      <w:r>
        <w:rPr>
          <w:rFonts w:hint="eastAsia" w:ascii="仿宋_GB2312" w:eastAsia="仿宋_GB2312"/>
          <w:color w:val="333333"/>
        </w:rPr>
        <w:t>第十七章“环境污染和生态破坏责任”需要掌握：环境污染和生态破坏责任的概念；环境污染和生态破坏责任的归责原则和构成要件；数个主体污染环境、破坏生态的责任；环境污染和生态破坏责任的承担方式和免责事由。</w:t>
      </w:r>
    </w:p>
    <w:p>
      <w:pPr>
        <w:ind w:right="41" w:firstLine="420" w:firstLineChars="200"/>
        <w:rPr>
          <w:rFonts w:ascii="仿宋_GB2312" w:eastAsia="仿宋_GB2312"/>
          <w:color w:val="333333"/>
        </w:rPr>
      </w:pPr>
      <w:r>
        <w:rPr>
          <w:rFonts w:hint="eastAsia" w:ascii="仿宋_GB2312" w:eastAsia="仿宋_GB2312"/>
          <w:color w:val="333333"/>
        </w:rPr>
        <w:t>第十八章“高度危险责任”需要掌握：高度危险作业致害的责任；民用核设施致害责任；民用航空器致害责任；高度危险物致害责任；高度危险活动致害责任；高度危险责任的赔偿限额。</w:t>
      </w:r>
    </w:p>
    <w:p>
      <w:pPr>
        <w:ind w:right="41" w:firstLine="420" w:firstLineChars="200"/>
        <w:rPr>
          <w:rFonts w:ascii="仿宋_GB2312" w:eastAsia="仿宋_GB2312"/>
          <w:color w:val="333333"/>
        </w:rPr>
      </w:pPr>
      <w:r>
        <w:rPr>
          <w:rFonts w:hint="eastAsia" w:ascii="仿宋_GB2312" w:eastAsia="仿宋_GB2312"/>
          <w:color w:val="333333"/>
        </w:rPr>
        <w:t>第十九章“饲养动物损害责任”需要掌握：饲养动物致人损害责任的归责原则、构成要件及免责事由；饲养动物致人损害责任的特殊规则；责任主体。</w:t>
      </w:r>
    </w:p>
    <w:p>
      <w:pPr>
        <w:ind w:right="41" w:firstLine="420" w:firstLineChars="200"/>
        <w:rPr>
          <w:rFonts w:ascii="仿宋_GB2312" w:eastAsia="仿宋_GB2312"/>
          <w:color w:val="333333"/>
        </w:rPr>
      </w:pPr>
      <w:r>
        <w:rPr>
          <w:rFonts w:hint="eastAsia" w:ascii="仿宋_GB2312" w:eastAsia="仿宋_GB2312"/>
          <w:color w:val="333333"/>
        </w:rPr>
        <w:t>第二十章“建筑物和物件致人损害责任”需要掌握：建筑物等倒塌、脱落、坠落致人损害责任；高楼抛物、坠物致人损害责任；其他物件致人损害责任。</w:t>
      </w:r>
    </w:p>
    <w:p>
      <w:pPr>
        <w:ind w:right="41" w:firstLine="422" w:firstLineChars="200"/>
        <w:rPr>
          <w:rFonts w:ascii="黑体" w:eastAsia="黑体"/>
          <w:b/>
          <w:bCs/>
          <w:color w:val="333333"/>
        </w:rPr>
      </w:pPr>
    </w:p>
    <w:p>
      <w:pPr>
        <w:ind w:right="41" w:firstLine="422" w:firstLineChars="200"/>
        <w:rPr>
          <w:rFonts w:ascii="黑体" w:eastAsia="黑体"/>
          <w:b/>
          <w:bCs/>
          <w:color w:val="333333"/>
        </w:rPr>
      </w:pPr>
      <w:r>
        <w:rPr>
          <w:rFonts w:hint="eastAsia" w:ascii="黑体" w:eastAsia="黑体"/>
          <w:b/>
          <w:bCs/>
          <w:color w:val="333333"/>
        </w:rPr>
        <w:t>三、考试范围和考试说明</w:t>
      </w:r>
    </w:p>
    <w:p>
      <w:pPr>
        <w:ind w:left="-8"/>
        <w:rPr>
          <w:rFonts w:ascii="仿宋_GB2312" w:eastAsia="仿宋_GB2312"/>
          <w:color w:val="333333"/>
        </w:rPr>
      </w:pPr>
      <w:r>
        <w:rPr>
          <w:rFonts w:ascii="仿宋_GB2312" w:eastAsia="仿宋_GB2312"/>
          <w:color w:val="333333"/>
        </w:rPr>
        <w:t xml:space="preserve">    </w:t>
      </w:r>
      <w:r>
        <w:rPr>
          <w:rFonts w:hint="eastAsia" w:ascii="仿宋_GB2312" w:eastAsia="仿宋_GB2312"/>
          <w:color w:val="333333"/>
        </w:rPr>
        <w:t>坚持质量标准，注重能力考查，使考试合格者能达到一般普通高等学校同专业同课程的结业水平，并体现自学考试以培养应用型人才为主要目标的特点。</w:t>
      </w:r>
    </w:p>
    <w:p>
      <w:pPr>
        <w:ind w:firstLine="420" w:firstLineChars="200"/>
        <w:rPr>
          <w:rFonts w:ascii="仿宋_GB2312" w:eastAsia="仿宋_GB2312"/>
          <w:color w:val="333333"/>
        </w:rPr>
      </w:pPr>
      <w:r>
        <w:rPr>
          <w:rFonts w:hint="eastAsia" w:ascii="仿宋_GB2312" w:eastAsia="仿宋_GB2312"/>
          <w:color w:val="333333"/>
        </w:rPr>
        <w:t>1.</w:t>
      </w:r>
      <w:r>
        <w:rPr>
          <w:rFonts w:ascii="仿宋_GB2312" w:eastAsia="仿宋_GB2312"/>
          <w:color w:val="333333"/>
        </w:rPr>
        <w:t>考试依据和范围</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1）以全国高等教育自学考试指导委员会颁发的本课程自学考试</w:t>
      </w:r>
      <w:r>
        <w:rPr>
          <w:rFonts w:hint="eastAsia" w:ascii="仿宋_GB2312" w:eastAsia="仿宋_GB2312"/>
          <w:color w:val="333333"/>
        </w:rPr>
        <w:t>大纲（见王利明《侵权责任法（第二版）》</w:t>
      </w:r>
      <w:r>
        <w:rPr>
          <w:rFonts w:ascii="仿宋_GB2312" w:eastAsia="仿宋_GB2312"/>
          <w:color w:val="333333"/>
        </w:rPr>
        <w:t>，</w:t>
      </w:r>
      <w:r>
        <w:rPr>
          <w:rFonts w:hint="eastAsia" w:ascii="仿宋_GB2312" w:eastAsia="仿宋_GB2312"/>
          <w:color w:val="333333"/>
        </w:rPr>
        <w:t>中国人民大学</w:t>
      </w:r>
      <w:r>
        <w:rPr>
          <w:rFonts w:ascii="仿宋_GB2312" w:eastAsia="仿宋_GB2312"/>
          <w:color w:val="333333"/>
        </w:rPr>
        <w:t>出版社20</w:t>
      </w:r>
      <w:r>
        <w:rPr>
          <w:rFonts w:hint="eastAsia" w:ascii="仿宋_GB2312" w:eastAsia="仿宋_GB2312"/>
          <w:color w:val="333333"/>
        </w:rPr>
        <w:t>2</w:t>
      </w:r>
      <w:r>
        <w:rPr>
          <w:rFonts w:ascii="仿宋_GB2312" w:eastAsia="仿宋_GB2312"/>
          <w:color w:val="333333"/>
        </w:rPr>
        <w:t>1年出版）为考试依据。</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2）全国高等教育自学考试指导委员会指定的统编教材《</w:t>
      </w:r>
      <w:r>
        <w:rPr>
          <w:rFonts w:hint="eastAsia" w:ascii="仿宋_GB2312" w:eastAsia="仿宋_GB2312"/>
          <w:color w:val="333333"/>
        </w:rPr>
        <w:t>侵权责任法（第二版）》</w:t>
      </w:r>
      <w:r>
        <w:rPr>
          <w:rFonts w:ascii="仿宋_GB2312" w:eastAsia="仿宋_GB2312"/>
          <w:color w:val="333333"/>
        </w:rPr>
        <w:t>(</w:t>
      </w:r>
      <w:r>
        <w:rPr>
          <w:rFonts w:hint="eastAsia" w:ascii="仿宋_GB2312" w:eastAsia="仿宋_GB2312"/>
          <w:color w:val="333333"/>
        </w:rPr>
        <w:t>王利明《侵权责任法（第二版）》</w:t>
      </w:r>
      <w:r>
        <w:rPr>
          <w:rFonts w:ascii="仿宋_GB2312" w:eastAsia="仿宋_GB2312"/>
          <w:color w:val="333333"/>
        </w:rPr>
        <w:t>，</w:t>
      </w:r>
      <w:r>
        <w:rPr>
          <w:rFonts w:hint="eastAsia" w:ascii="仿宋_GB2312" w:eastAsia="仿宋_GB2312"/>
          <w:color w:val="333333"/>
        </w:rPr>
        <w:t>中国人民大学</w:t>
      </w:r>
      <w:r>
        <w:rPr>
          <w:rFonts w:ascii="仿宋_GB2312" w:eastAsia="仿宋_GB2312"/>
          <w:color w:val="333333"/>
        </w:rPr>
        <w:t>出版社20</w:t>
      </w:r>
      <w:r>
        <w:rPr>
          <w:rFonts w:hint="eastAsia" w:ascii="仿宋_GB2312" w:eastAsia="仿宋_GB2312"/>
          <w:color w:val="333333"/>
        </w:rPr>
        <w:t>21</w:t>
      </w:r>
      <w:r>
        <w:rPr>
          <w:rFonts w:ascii="仿宋_GB2312" w:eastAsia="仿宋_GB2312"/>
          <w:color w:val="333333"/>
        </w:rPr>
        <w:t>年出版)为考试必读教材)。</w:t>
      </w:r>
    </w:p>
    <w:p>
      <w:pPr>
        <w:ind w:firstLine="420" w:firstLineChars="200"/>
        <w:rPr>
          <w:rFonts w:ascii="仿宋_GB2312" w:eastAsia="仿宋_GB2312"/>
          <w:color w:val="333333"/>
        </w:rPr>
      </w:pPr>
      <w:r>
        <w:rPr>
          <w:rFonts w:hint="eastAsia" w:ascii="仿宋_GB2312" w:eastAsia="仿宋_GB2312"/>
          <w:color w:val="333333"/>
        </w:rPr>
        <w:t>（</w:t>
      </w:r>
      <w:r>
        <w:rPr>
          <w:rFonts w:ascii="仿宋_GB2312" w:eastAsia="仿宋_GB2312"/>
          <w:color w:val="333333"/>
        </w:rPr>
        <w:t>3）命题内容覆盖各章。</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2.</w:t>
      </w:r>
      <w:r>
        <w:rPr>
          <w:rFonts w:ascii="仿宋_GB2312" w:eastAsia="仿宋_GB2312"/>
          <w:color w:val="333333"/>
        </w:rPr>
        <w:t>本课程考核的知识与能力的关系</w:t>
      </w:r>
    </w:p>
    <w:p>
      <w:pPr>
        <w:rPr>
          <w:rFonts w:ascii="仿宋_GB2312" w:eastAsia="仿宋_GB2312"/>
          <w:color w:val="333333"/>
        </w:rPr>
      </w:pPr>
      <w:r>
        <w:rPr>
          <w:rFonts w:ascii="仿宋_GB2312" w:eastAsia="仿宋_GB2312"/>
          <w:color w:val="333333"/>
          <w:szCs w:val="28"/>
        </w:rPr>
        <w:t xml:space="preserve">    </w:t>
      </w:r>
      <w:r>
        <w:rPr>
          <w:rFonts w:hint="eastAsia" w:ascii="仿宋_GB2312" w:eastAsia="仿宋_GB2312"/>
          <w:color w:val="333333"/>
          <w:szCs w:val="28"/>
        </w:rPr>
        <w:t>《侵权责任法》课程考试，应考核应考者的基本理论、基本</w:t>
      </w:r>
      <w:r>
        <w:rPr>
          <w:rFonts w:hint="eastAsia" w:ascii="仿宋_GB2312" w:eastAsia="仿宋_GB2312"/>
          <w:color w:val="333333"/>
        </w:rPr>
        <w:t>知识和基本技能，以及联系实际、运用所学的理论分析问题和解决问题的能力，确保考试合格者达到全日制普通高等学校本专业相同课程的结业水平。</w:t>
      </w:r>
    </w:p>
    <w:p>
      <w:pPr>
        <w:ind w:firstLine="420" w:firstLineChars="200"/>
        <w:rPr>
          <w:rFonts w:ascii="仿宋_GB2312" w:eastAsia="仿宋_GB2312"/>
          <w:color w:val="333333"/>
        </w:rPr>
      </w:pPr>
      <w:r>
        <w:rPr>
          <w:rFonts w:hint="eastAsia" w:ascii="仿宋_GB2312" w:eastAsia="仿宋_GB2312"/>
          <w:color w:val="333333"/>
        </w:rPr>
        <w:t>考试工作应引导社会助学者全面系统地进行辅导，引导应考者认真、全面地学习指定教材，系统掌握本学科知识，培养和提高运用知识和技能、分析和解决问题的能力。</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3.</w:t>
      </w:r>
      <w:r>
        <w:rPr>
          <w:rFonts w:ascii="仿宋_GB2312" w:eastAsia="仿宋_GB2312"/>
          <w:color w:val="333333"/>
        </w:rPr>
        <w:t>重点与覆盖的关系</w:t>
      </w:r>
    </w:p>
    <w:p>
      <w:pPr>
        <w:tabs>
          <w:tab w:val="left" w:pos="0"/>
          <w:tab w:val="left" w:pos="945"/>
        </w:tabs>
        <w:ind w:firstLine="420" w:firstLineChars="200"/>
        <w:rPr>
          <w:rFonts w:ascii="仿宋_GB2312" w:eastAsia="仿宋_GB2312"/>
          <w:color w:val="333333"/>
        </w:rPr>
      </w:pPr>
      <w:r>
        <w:rPr>
          <w:rFonts w:hint="eastAsia" w:ascii="仿宋_GB2312" w:eastAsia="仿宋_GB2312"/>
          <w:color w:val="333333"/>
        </w:rPr>
        <w:t>试题覆盖到各章，重点章节的内容占试卷内容比例为</w:t>
      </w:r>
      <w:r>
        <w:rPr>
          <w:rFonts w:ascii="仿宋_GB2312" w:eastAsia="仿宋_GB2312"/>
          <w:color w:val="333333"/>
        </w:rPr>
        <w:t>50-60%。</w:t>
      </w:r>
    </w:p>
    <w:p>
      <w:pPr>
        <w:tabs>
          <w:tab w:val="left" w:pos="0"/>
          <w:tab w:val="left" w:pos="945"/>
        </w:tabs>
        <w:ind w:firstLine="422" w:firstLineChars="200"/>
        <w:rPr>
          <w:rFonts w:ascii="黑体" w:eastAsia="黑体"/>
          <w:b/>
          <w:bCs/>
          <w:color w:val="333333"/>
        </w:rPr>
      </w:pPr>
    </w:p>
    <w:p>
      <w:pPr>
        <w:tabs>
          <w:tab w:val="left" w:pos="0"/>
          <w:tab w:val="left" w:pos="945"/>
        </w:tabs>
        <w:ind w:firstLine="422" w:firstLineChars="200"/>
        <w:rPr>
          <w:rFonts w:ascii="黑体" w:eastAsia="黑体"/>
          <w:b/>
          <w:bCs/>
          <w:color w:val="333333"/>
        </w:rPr>
      </w:pPr>
      <w:r>
        <w:rPr>
          <w:rFonts w:hint="eastAsia" w:ascii="黑体" w:eastAsia="黑体"/>
          <w:b/>
          <w:bCs/>
          <w:color w:val="333333"/>
        </w:rPr>
        <w:t>四、考试形式和试卷结构</w:t>
      </w:r>
    </w:p>
    <w:p>
      <w:pPr>
        <w:tabs>
          <w:tab w:val="left" w:pos="0"/>
          <w:tab w:val="left" w:pos="945"/>
        </w:tabs>
        <w:ind w:firstLine="420" w:firstLineChars="200"/>
        <w:rPr>
          <w:rFonts w:ascii="仿宋_GB2312" w:eastAsia="仿宋_GB2312"/>
          <w:color w:val="333333"/>
        </w:rPr>
      </w:pPr>
      <w:r>
        <w:rPr>
          <w:rFonts w:ascii="仿宋_GB2312" w:eastAsia="仿宋_GB2312"/>
          <w:color w:val="333333"/>
        </w:rPr>
        <w:t>1</w:t>
      </w:r>
      <w:r>
        <w:rPr>
          <w:rFonts w:hint="eastAsia" w:ascii="仿宋_GB2312" w:eastAsia="仿宋_GB2312"/>
          <w:color w:val="333333"/>
        </w:rPr>
        <w:t>.</w:t>
      </w:r>
      <w:r>
        <w:rPr>
          <w:rFonts w:ascii="仿宋_GB2312" w:eastAsia="仿宋_GB2312"/>
          <w:color w:val="333333"/>
        </w:rPr>
        <w:t>考试形式为闭卷笔试，答卷时间为150分钟，采用百分制，60分为及格线。</w:t>
      </w:r>
    </w:p>
    <w:p>
      <w:pPr>
        <w:tabs>
          <w:tab w:val="left" w:pos="945"/>
        </w:tabs>
        <w:ind w:firstLine="420" w:firstLineChars="200"/>
        <w:rPr>
          <w:rFonts w:ascii="仿宋_GB2312" w:eastAsia="仿宋_GB2312"/>
          <w:color w:val="333333"/>
        </w:rPr>
      </w:pPr>
      <w:r>
        <w:rPr>
          <w:rFonts w:ascii="仿宋_GB2312" w:eastAsia="仿宋_GB2312"/>
          <w:color w:val="333333"/>
        </w:rPr>
        <w:t>2</w:t>
      </w:r>
      <w:r>
        <w:rPr>
          <w:rFonts w:hint="eastAsia" w:ascii="仿宋_GB2312" w:eastAsia="仿宋_GB2312"/>
          <w:color w:val="333333"/>
        </w:rPr>
        <w:t>.</w:t>
      </w:r>
      <w:r>
        <w:rPr>
          <w:rFonts w:ascii="仿宋_GB2312" w:eastAsia="仿宋_GB2312"/>
          <w:color w:val="333333"/>
        </w:rPr>
        <w:t>考试的题型有：单项选择题、多项选择题、</w:t>
      </w:r>
      <w:r>
        <w:rPr>
          <w:rFonts w:hint="eastAsia" w:ascii="仿宋_GB2312" w:eastAsia="仿宋_GB2312"/>
          <w:color w:val="333333"/>
        </w:rPr>
        <w:t>名词解释题、简答题、</w:t>
      </w:r>
      <w:r>
        <w:rPr>
          <w:rFonts w:ascii="仿宋_GB2312" w:eastAsia="仿宋_GB2312"/>
          <w:color w:val="333333"/>
        </w:rPr>
        <w:t>论述题</w:t>
      </w:r>
      <w:r>
        <w:rPr>
          <w:rFonts w:hint="eastAsia" w:ascii="仿宋_GB2312" w:eastAsia="仿宋_GB2312"/>
          <w:color w:val="333333"/>
        </w:rPr>
        <w:t>和案例分析题</w:t>
      </w:r>
      <w:r>
        <w:rPr>
          <w:rFonts w:ascii="仿宋_GB2312" w:eastAsia="仿宋_GB2312"/>
          <w:color w:val="333333"/>
        </w:rPr>
        <w:t>。</w:t>
      </w:r>
    </w:p>
    <w:p>
      <w:pPr>
        <w:tabs>
          <w:tab w:val="left" w:pos="945"/>
        </w:tabs>
        <w:ind w:firstLine="420" w:firstLineChars="200"/>
        <w:rPr>
          <w:rFonts w:ascii="仿宋_GB2312" w:eastAsia="仿宋_GB2312"/>
          <w:color w:val="333333"/>
        </w:rPr>
      </w:pPr>
      <w:r>
        <w:rPr>
          <w:rFonts w:ascii="仿宋_GB2312" w:eastAsia="仿宋_GB2312"/>
          <w:color w:val="333333"/>
        </w:rPr>
        <w:t>3</w:t>
      </w:r>
      <w:r>
        <w:rPr>
          <w:rFonts w:hint="eastAsia" w:ascii="仿宋_GB2312" w:eastAsia="仿宋_GB2312"/>
          <w:color w:val="333333"/>
        </w:rPr>
        <w:t>.</w:t>
      </w:r>
      <w:r>
        <w:rPr>
          <w:rFonts w:ascii="仿宋_GB2312" w:eastAsia="仿宋_GB2312"/>
          <w:color w:val="333333"/>
        </w:rPr>
        <w:t>本课程在试题中不同难度要求的分数比例为：容易20%，较易35</w:t>
      </w:r>
      <w:r>
        <w:rPr>
          <w:rFonts w:hint="eastAsia" w:ascii="仿宋_GB2312" w:eastAsia="仿宋_GB2312"/>
          <w:color w:val="333333"/>
        </w:rPr>
        <w:t>%</w:t>
      </w:r>
      <w:r>
        <w:rPr>
          <w:rFonts w:ascii="仿宋_GB2312" w:eastAsia="仿宋_GB2312"/>
          <w:color w:val="333333"/>
        </w:rPr>
        <w:t>，较难35</w:t>
      </w:r>
      <w:r>
        <w:rPr>
          <w:rFonts w:hint="eastAsia" w:ascii="仿宋_GB2312" w:eastAsia="仿宋_GB2312"/>
          <w:color w:val="333333"/>
        </w:rPr>
        <w:t>%</w:t>
      </w:r>
      <w:r>
        <w:rPr>
          <w:rFonts w:ascii="仿宋_GB2312" w:eastAsia="仿宋_GB2312"/>
          <w:color w:val="333333"/>
        </w:rPr>
        <w:t>，难10%。</w:t>
      </w:r>
    </w:p>
    <w:p>
      <w:pPr>
        <w:tabs>
          <w:tab w:val="left" w:pos="945"/>
        </w:tabs>
        <w:ind w:firstLine="420" w:firstLineChars="200"/>
        <w:rPr>
          <w:rFonts w:ascii="仿宋_GB2312" w:eastAsia="仿宋_GB2312"/>
          <w:color w:val="333333"/>
        </w:rPr>
      </w:pPr>
      <w:r>
        <w:rPr>
          <w:rFonts w:ascii="仿宋_GB2312" w:eastAsia="仿宋_GB2312"/>
          <w:color w:val="333333"/>
        </w:rPr>
        <w:t>4</w:t>
      </w:r>
      <w:r>
        <w:rPr>
          <w:rFonts w:hint="eastAsia" w:ascii="仿宋_GB2312" w:eastAsia="仿宋_GB2312"/>
          <w:color w:val="333333"/>
        </w:rPr>
        <w:t>.</w:t>
      </w:r>
      <w:r>
        <w:rPr>
          <w:rFonts w:ascii="仿宋_GB2312" w:eastAsia="仿宋_GB2312"/>
          <w:color w:val="333333"/>
        </w:rPr>
        <w:t>本课程在试题中对不同能力层次要求的分数比例为：识记占20%，领会占30%；简单应用占30%；综合应用占20%。</w:t>
      </w:r>
    </w:p>
    <w:p>
      <w:pPr>
        <w:tabs>
          <w:tab w:val="left" w:pos="945"/>
        </w:tabs>
        <w:ind w:firstLine="420" w:firstLineChars="200"/>
        <w:rPr>
          <w:rFonts w:ascii="仿宋_GB2312" w:eastAsia="仿宋_GB2312"/>
          <w:color w:val="333333"/>
        </w:rPr>
      </w:pPr>
      <w:r>
        <w:rPr>
          <w:rFonts w:ascii="仿宋_GB2312" w:eastAsia="仿宋_GB2312"/>
          <w:color w:val="333333"/>
        </w:rPr>
        <w:t>5</w:t>
      </w:r>
      <w:r>
        <w:rPr>
          <w:rFonts w:hint="eastAsia" w:ascii="仿宋_GB2312" w:eastAsia="仿宋_GB2312"/>
          <w:color w:val="333333"/>
        </w:rPr>
        <w:t>.</w:t>
      </w:r>
      <w:r>
        <w:rPr>
          <w:rFonts w:ascii="仿宋_GB2312" w:eastAsia="仿宋_GB2312"/>
          <w:color w:val="333333"/>
        </w:rPr>
        <w:t>本门课程有无特殊要求（包括考生可携带的工具）：无。</w:t>
      </w:r>
    </w:p>
    <w:p>
      <w:pPr>
        <w:tabs>
          <w:tab w:val="left" w:pos="945"/>
        </w:tabs>
        <w:ind w:firstLine="422" w:firstLineChars="200"/>
        <w:rPr>
          <w:rFonts w:ascii="黑体" w:eastAsia="黑体"/>
          <w:b/>
          <w:bCs/>
          <w:color w:val="333333"/>
        </w:rPr>
      </w:pPr>
    </w:p>
    <w:p>
      <w:pPr>
        <w:tabs>
          <w:tab w:val="left" w:pos="945"/>
        </w:tabs>
        <w:ind w:firstLine="422" w:firstLineChars="200"/>
        <w:rPr>
          <w:rFonts w:ascii="黑体" w:eastAsia="黑体"/>
          <w:b/>
          <w:bCs/>
          <w:color w:val="333333"/>
        </w:rPr>
      </w:pPr>
      <w:r>
        <w:rPr>
          <w:rFonts w:hint="eastAsia" w:ascii="黑体" w:eastAsia="黑体"/>
          <w:b/>
          <w:bCs/>
          <w:color w:val="333333"/>
        </w:rPr>
        <w:t>五、《侵权责任法》课程题型举例</w:t>
      </w:r>
    </w:p>
    <w:p>
      <w:pPr>
        <w:ind w:firstLine="422" w:firstLineChars="200"/>
        <w:rPr>
          <w:rFonts w:ascii="仿宋_GB2312" w:eastAsia="仿宋_GB2312"/>
          <w:color w:val="333333"/>
        </w:rPr>
      </w:pPr>
      <w:r>
        <w:rPr>
          <w:b/>
          <w:bCs/>
          <w:color w:val="333333"/>
        </w:rPr>
        <w:t>1</w:t>
      </w:r>
      <w:r>
        <w:rPr>
          <w:rFonts w:hint="eastAsia"/>
          <w:b/>
          <w:bCs/>
          <w:color w:val="333333"/>
        </w:rPr>
        <w:t>.</w:t>
      </w:r>
      <w:r>
        <w:rPr>
          <w:rFonts w:hint="eastAsia" w:ascii="黑体" w:eastAsia="黑体"/>
          <w:b/>
          <w:bCs/>
          <w:color w:val="333333"/>
        </w:rPr>
        <w:t>单项选择题</w:t>
      </w:r>
      <w:r>
        <w:rPr>
          <w:rFonts w:hint="eastAsia" w:ascii="方正仿宋简体" w:eastAsia="方正仿宋简体"/>
          <w:color w:val="333333"/>
        </w:rPr>
        <w:t>（</w:t>
      </w:r>
      <w:r>
        <w:rPr>
          <w:rFonts w:hint="eastAsia" w:ascii="仿宋_GB2312" w:eastAsia="仿宋_GB2312"/>
          <w:color w:val="333333"/>
        </w:rPr>
        <w:t>在每小题列出的四个备选项中只有一个是符合题目要求的，请将其代码填在题后的括号内。错选、多选或未选均无分）</w:t>
      </w:r>
    </w:p>
    <w:p>
      <w:pPr>
        <w:rPr>
          <w:rFonts w:ascii="仿宋_GB2312" w:eastAsia="仿宋_GB2312"/>
          <w:color w:val="333333"/>
          <w:szCs w:val="28"/>
        </w:rPr>
      </w:pPr>
      <w:r>
        <w:rPr>
          <w:rFonts w:hint="eastAsia" w:ascii="仿宋_GB2312" w:eastAsia="仿宋_GB2312"/>
          <w:color w:val="333333"/>
          <w:szCs w:val="28"/>
        </w:rPr>
        <w:t>（</w:t>
      </w:r>
      <w:r>
        <w:rPr>
          <w:rFonts w:ascii="仿宋_GB2312" w:eastAsia="仿宋_GB2312"/>
          <w:color w:val="333333"/>
          <w:szCs w:val="28"/>
        </w:rPr>
        <w:t>1）</w:t>
      </w:r>
      <w:r>
        <w:rPr>
          <w:rFonts w:hint="eastAsia" w:ascii="仿宋_GB2312" w:eastAsia="仿宋_GB2312"/>
          <w:color w:val="333333"/>
          <w:szCs w:val="28"/>
        </w:rPr>
        <w:t>下列哪一项是产品责任的归责原则  【</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rPr>
        <w:t>】</w:t>
      </w:r>
    </w:p>
    <w:p>
      <w:pPr>
        <w:rPr>
          <w:rFonts w:ascii="仿宋_GB2312" w:eastAsia="仿宋_GB2312"/>
          <w:color w:val="333333"/>
          <w:szCs w:val="28"/>
        </w:rPr>
      </w:pPr>
      <w:r>
        <w:rPr>
          <w:rFonts w:ascii="仿宋_GB2312" w:eastAsia="仿宋_GB2312"/>
          <w:color w:val="333333"/>
          <w:szCs w:val="28"/>
        </w:rPr>
        <w:t>A.</w:t>
      </w:r>
      <w:r>
        <w:rPr>
          <w:rFonts w:ascii="仿宋_GB2312" w:eastAsia="仿宋_GB2312"/>
          <w:color w:val="333333"/>
          <w:szCs w:val="28"/>
        </w:rPr>
        <w:tab/>
      </w:r>
      <w:r>
        <w:rPr>
          <w:rFonts w:hint="eastAsia" w:ascii="仿宋_GB2312" w:eastAsia="仿宋_GB2312"/>
          <w:color w:val="333333"/>
          <w:szCs w:val="28"/>
        </w:rPr>
        <w:t>过错责任原则</w:t>
      </w:r>
      <w:r>
        <w:rPr>
          <w:rFonts w:ascii="仿宋_GB2312" w:eastAsia="仿宋_GB2312"/>
          <w:color w:val="333333"/>
          <w:szCs w:val="28"/>
        </w:rPr>
        <w:tab/>
      </w:r>
    </w:p>
    <w:p>
      <w:pPr>
        <w:rPr>
          <w:rFonts w:ascii="仿宋_GB2312" w:eastAsia="仿宋_GB2312"/>
          <w:color w:val="333333"/>
          <w:szCs w:val="28"/>
        </w:rPr>
      </w:pPr>
      <w:r>
        <w:rPr>
          <w:rFonts w:ascii="仿宋_GB2312" w:eastAsia="仿宋_GB2312"/>
          <w:color w:val="333333"/>
          <w:szCs w:val="28"/>
        </w:rPr>
        <w:t xml:space="preserve">B. </w:t>
      </w:r>
      <w:r>
        <w:rPr>
          <w:rFonts w:hint="eastAsia" w:ascii="仿宋_GB2312" w:eastAsia="仿宋_GB2312"/>
          <w:color w:val="333333"/>
          <w:szCs w:val="28"/>
        </w:rPr>
        <w:t>过错推定责任</w:t>
      </w:r>
      <w:r>
        <w:rPr>
          <w:rFonts w:ascii="仿宋_GB2312" w:eastAsia="仿宋_GB2312"/>
          <w:color w:val="333333"/>
          <w:szCs w:val="28"/>
        </w:rPr>
        <w:tab/>
      </w:r>
    </w:p>
    <w:p>
      <w:pPr>
        <w:rPr>
          <w:rFonts w:ascii="仿宋_GB2312" w:eastAsia="仿宋_GB2312"/>
          <w:color w:val="333333"/>
          <w:szCs w:val="28"/>
        </w:rPr>
      </w:pPr>
      <w:r>
        <w:rPr>
          <w:rFonts w:ascii="仿宋_GB2312" w:eastAsia="仿宋_GB2312"/>
          <w:color w:val="333333"/>
          <w:szCs w:val="28"/>
        </w:rPr>
        <w:t>C.</w:t>
      </w:r>
      <w:r>
        <w:rPr>
          <w:rFonts w:ascii="仿宋_GB2312" w:eastAsia="仿宋_GB2312"/>
          <w:color w:val="333333"/>
          <w:szCs w:val="28"/>
        </w:rPr>
        <w:tab/>
      </w:r>
      <w:r>
        <w:rPr>
          <w:rFonts w:hint="eastAsia" w:ascii="仿宋_GB2312" w:eastAsia="仿宋_GB2312"/>
          <w:color w:val="333333"/>
          <w:szCs w:val="28"/>
        </w:rPr>
        <w:t>无过错责任</w:t>
      </w:r>
      <w:r>
        <w:rPr>
          <w:rFonts w:ascii="仿宋_GB2312" w:eastAsia="仿宋_GB2312"/>
          <w:color w:val="333333"/>
          <w:szCs w:val="28"/>
        </w:rPr>
        <w:tab/>
      </w:r>
      <w:r>
        <w:rPr>
          <w:rFonts w:ascii="仿宋_GB2312" w:eastAsia="仿宋_GB2312"/>
          <w:color w:val="333333"/>
          <w:szCs w:val="28"/>
        </w:rPr>
        <w:t xml:space="preserve">  </w:t>
      </w:r>
    </w:p>
    <w:p>
      <w:pPr>
        <w:rPr>
          <w:rFonts w:ascii="仿宋_GB2312" w:eastAsia="仿宋_GB2312"/>
          <w:color w:val="333333"/>
          <w:szCs w:val="28"/>
        </w:rPr>
      </w:pPr>
      <w:r>
        <w:rPr>
          <w:rFonts w:ascii="仿宋_GB2312" w:eastAsia="仿宋_GB2312"/>
          <w:color w:val="333333"/>
          <w:szCs w:val="28"/>
        </w:rPr>
        <w:t>D.</w:t>
      </w:r>
      <w:r>
        <w:rPr>
          <w:rFonts w:hint="eastAsia" w:ascii="仿宋_GB2312" w:eastAsia="仿宋_GB2312"/>
          <w:color w:val="333333"/>
          <w:szCs w:val="28"/>
        </w:rPr>
        <w:t>公平丙责任</w:t>
      </w:r>
    </w:p>
    <w:p>
      <w:pPr>
        <w:rPr>
          <w:rFonts w:ascii="仿宋_GB2312" w:eastAsia="仿宋_GB2312"/>
          <w:bCs/>
          <w:color w:val="333333"/>
        </w:rPr>
      </w:pPr>
      <w:r>
        <w:rPr>
          <w:rFonts w:hint="eastAsia" w:ascii="仿宋_GB2312" w:eastAsia="仿宋_GB2312"/>
          <w:bCs/>
          <w:color w:val="333333"/>
        </w:rPr>
        <w:t>（</w:t>
      </w:r>
      <w:r>
        <w:rPr>
          <w:rFonts w:ascii="仿宋_GB2312" w:eastAsia="仿宋_GB2312"/>
          <w:bCs/>
          <w:color w:val="333333"/>
        </w:rPr>
        <w:t>2）</w:t>
      </w:r>
      <w:r>
        <w:rPr>
          <w:rFonts w:hint="eastAsia" w:ascii="仿宋_GB2312" w:eastAsia="仿宋_GB2312"/>
          <w:bCs/>
          <w:color w:val="333333"/>
        </w:rPr>
        <w:t>下列哪项权利属于侵权责任法的保护对象</w:t>
      </w:r>
      <w:r>
        <w:rPr>
          <w:rFonts w:hint="eastAsia" w:ascii="仿宋_GB2312" w:eastAsia="仿宋_GB2312"/>
          <w:color w:val="333333"/>
          <w:szCs w:val="28"/>
        </w:rPr>
        <w:t>【</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rPr>
        <w:t>】。</w:t>
      </w:r>
    </w:p>
    <w:p>
      <w:pPr>
        <w:rPr>
          <w:rFonts w:ascii="仿宋_GB2312" w:eastAsia="仿宋_GB2312"/>
          <w:color w:val="333333"/>
          <w:szCs w:val="28"/>
        </w:rPr>
      </w:pPr>
      <w:r>
        <w:rPr>
          <w:rFonts w:ascii="仿宋_GB2312" w:eastAsia="仿宋_GB2312"/>
          <w:color w:val="333333"/>
          <w:szCs w:val="28"/>
        </w:rPr>
        <w:t>A.</w:t>
      </w:r>
      <w:r>
        <w:rPr>
          <w:rFonts w:hint="eastAsia" w:ascii="仿宋_GB2312" w:eastAsia="仿宋_GB2312"/>
          <w:color w:val="333333"/>
          <w:szCs w:val="28"/>
        </w:rPr>
        <w:t>健康权</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p>
    <w:p>
      <w:pPr>
        <w:rPr>
          <w:rFonts w:ascii="仿宋_GB2312" w:eastAsia="仿宋_GB2312"/>
          <w:color w:val="333333"/>
          <w:szCs w:val="28"/>
        </w:rPr>
      </w:pPr>
      <w:r>
        <w:rPr>
          <w:rFonts w:ascii="仿宋_GB2312" w:eastAsia="仿宋_GB2312"/>
          <w:color w:val="333333"/>
          <w:szCs w:val="28"/>
        </w:rPr>
        <w:t>B.</w:t>
      </w:r>
      <w:r>
        <w:rPr>
          <w:rFonts w:hint="eastAsia" w:ascii="仿宋_GB2312" w:eastAsia="仿宋_GB2312"/>
          <w:color w:val="333333"/>
          <w:szCs w:val="28"/>
        </w:rPr>
        <w:t xml:space="preserve">所有权    </w:t>
      </w:r>
    </w:p>
    <w:p>
      <w:pPr>
        <w:rPr>
          <w:rFonts w:ascii="仿宋_GB2312" w:eastAsia="仿宋_GB2312"/>
          <w:color w:val="333333"/>
          <w:szCs w:val="28"/>
        </w:rPr>
      </w:pPr>
      <w:r>
        <w:rPr>
          <w:rFonts w:ascii="仿宋_GB2312" w:eastAsia="仿宋_GB2312"/>
          <w:color w:val="333333"/>
          <w:szCs w:val="28"/>
        </w:rPr>
        <w:t>C.</w:t>
      </w:r>
      <w:r>
        <w:rPr>
          <w:rFonts w:hint="eastAsia" w:ascii="仿宋_GB2312" w:eastAsia="仿宋_GB2312"/>
          <w:color w:val="333333"/>
          <w:szCs w:val="28"/>
        </w:rPr>
        <w:t>选举权</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ab/>
      </w:r>
    </w:p>
    <w:p>
      <w:pPr>
        <w:rPr>
          <w:rFonts w:ascii="仿宋_GB2312" w:eastAsia="仿宋_GB2312"/>
          <w:color w:val="333333"/>
          <w:szCs w:val="28"/>
        </w:rPr>
      </w:pPr>
      <w:r>
        <w:rPr>
          <w:rFonts w:ascii="仿宋_GB2312" w:eastAsia="仿宋_GB2312"/>
          <w:color w:val="333333"/>
          <w:szCs w:val="28"/>
        </w:rPr>
        <w:t>D.</w:t>
      </w:r>
      <w:r>
        <w:rPr>
          <w:rFonts w:hint="eastAsia" w:ascii="仿宋_GB2312" w:eastAsia="仿宋_GB2312"/>
          <w:color w:val="333333"/>
          <w:szCs w:val="28"/>
        </w:rPr>
        <w:t>抵押权</w:t>
      </w:r>
      <w:r>
        <w:rPr>
          <w:rFonts w:ascii="仿宋_GB2312" w:eastAsia="仿宋_GB2312"/>
          <w:color w:val="333333"/>
          <w:szCs w:val="28"/>
        </w:rPr>
        <w:tab/>
      </w:r>
    </w:p>
    <w:p>
      <w:pPr>
        <w:rPr>
          <w:rFonts w:ascii="仿宋_GB2312" w:eastAsia="仿宋_GB2312"/>
          <w:color w:val="333333"/>
        </w:rPr>
      </w:pPr>
      <w:r>
        <w:rPr>
          <w:b/>
          <w:bCs/>
          <w:color w:val="333333"/>
        </w:rPr>
        <w:t>2</w:t>
      </w:r>
      <w:r>
        <w:rPr>
          <w:rFonts w:hint="eastAsia"/>
          <w:b/>
          <w:bCs/>
          <w:color w:val="333333"/>
        </w:rPr>
        <w:t>.</w:t>
      </w:r>
      <w:r>
        <w:rPr>
          <w:rFonts w:hint="eastAsia" w:ascii="黑体" w:eastAsia="黑体"/>
          <w:b/>
          <w:bCs/>
          <w:color w:val="333333"/>
        </w:rPr>
        <w:t>多项选择题</w:t>
      </w:r>
      <w:r>
        <w:rPr>
          <w:rFonts w:hint="eastAsia" w:ascii="方正仿宋简体" w:eastAsia="方正仿宋简体"/>
          <w:color w:val="333333"/>
        </w:rPr>
        <w:t>（</w:t>
      </w:r>
      <w:r>
        <w:rPr>
          <w:rFonts w:hint="eastAsia" w:ascii="仿宋_GB2312" w:eastAsia="仿宋_GB2312"/>
          <w:color w:val="333333"/>
        </w:rPr>
        <w:t>在每小题列出的五个备选项中有二至五个是符合题目要求的，请将其代码填在题后的括号内，错选、多选、少选或未选</w:t>
      </w:r>
      <w:r>
        <w:rPr>
          <w:rFonts w:ascii="仿宋_GB2312" w:eastAsia="仿宋_GB2312"/>
          <w:color w:val="333333"/>
        </w:rPr>
        <w:t xml:space="preserve"> </w:t>
      </w:r>
      <w:r>
        <w:rPr>
          <w:rFonts w:hint="eastAsia" w:ascii="仿宋_GB2312" w:eastAsia="仿宋_GB2312"/>
          <w:color w:val="333333"/>
        </w:rPr>
        <w:t>均不给分）</w:t>
      </w:r>
    </w:p>
    <w:p>
      <w:pPr>
        <w:rPr>
          <w:rFonts w:ascii="仿宋_GB2312" w:eastAsia="仿宋_GB2312"/>
          <w:color w:val="333333"/>
        </w:rPr>
      </w:pPr>
      <w:r>
        <w:rPr>
          <w:rFonts w:hint="eastAsia" w:ascii="仿宋_GB2312" w:eastAsia="仿宋_GB2312"/>
          <w:color w:val="333333"/>
        </w:rPr>
        <w:t>（</w:t>
      </w:r>
      <w:r>
        <w:rPr>
          <w:rFonts w:ascii="仿宋_GB2312" w:eastAsia="仿宋_GB2312"/>
          <w:color w:val="333333"/>
        </w:rPr>
        <w:t>1）下列</w:t>
      </w:r>
      <w:r>
        <w:rPr>
          <w:rFonts w:hint="eastAsia" w:ascii="仿宋_GB2312" w:eastAsia="仿宋_GB2312"/>
          <w:color w:val="333333"/>
        </w:rPr>
        <w:t>哪些选项是一般侵权责任构成要件</w:t>
      </w:r>
      <w:r>
        <w:rPr>
          <w:rFonts w:hint="eastAsia" w:ascii="仿宋_GB2312" w:eastAsia="仿宋_GB2312"/>
          <w:color w:val="333333"/>
          <w:szCs w:val="28"/>
        </w:rPr>
        <w:t>【</w:t>
      </w:r>
      <w:r>
        <w:rPr>
          <w:rFonts w:ascii="仿宋_GB2312" w:eastAsia="仿宋_GB2312"/>
          <w:color w:val="333333"/>
          <w:szCs w:val="28"/>
        </w:rPr>
        <w:tab/>
      </w:r>
      <w:r>
        <w:rPr>
          <w:rFonts w:ascii="仿宋_GB2312" w:eastAsia="仿宋_GB2312"/>
          <w:color w:val="333333"/>
          <w:szCs w:val="28"/>
        </w:rPr>
        <w:tab/>
      </w:r>
      <w:r>
        <w:rPr>
          <w:rFonts w:hint="eastAsia" w:ascii="仿宋_GB2312" w:eastAsia="仿宋_GB2312"/>
          <w:color w:val="333333"/>
          <w:szCs w:val="28"/>
        </w:rPr>
        <w:t>】</w:t>
      </w:r>
    </w:p>
    <w:p>
      <w:pPr>
        <w:rPr>
          <w:rFonts w:ascii="仿宋_GB2312" w:eastAsia="仿宋_GB2312"/>
          <w:color w:val="333333"/>
        </w:rPr>
      </w:pPr>
      <w:r>
        <w:rPr>
          <w:rFonts w:hint="eastAsia" w:ascii="仿宋_GB2312" w:eastAsia="仿宋_GB2312"/>
          <w:color w:val="333333"/>
        </w:rPr>
        <w:t xml:space="preserve">A损害他人民事权益行为    </w:t>
      </w:r>
    </w:p>
    <w:p>
      <w:pPr>
        <w:rPr>
          <w:rFonts w:ascii="仿宋_GB2312" w:eastAsia="仿宋_GB2312"/>
          <w:color w:val="333333"/>
        </w:rPr>
      </w:pPr>
      <w:r>
        <w:rPr>
          <w:rFonts w:hint="eastAsia" w:ascii="仿宋_GB2312" w:eastAsia="仿宋_GB2312"/>
          <w:color w:val="333333"/>
        </w:rPr>
        <w:t xml:space="preserve">B过错   </w:t>
      </w:r>
    </w:p>
    <w:p>
      <w:pPr>
        <w:rPr>
          <w:rFonts w:ascii="仿宋_GB2312" w:eastAsia="仿宋_GB2312"/>
          <w:color w:val="333333"/>
        </w:rPr>
      </w:pPr>
      <w:r>
        <w:rPr>
          <w:rFonts w:hint="eastAsia" w:ascii="仿宋_GB2312" w:eastAsia="仿宋_GB2312"/>
          <w:color w:val="333333"/>
        </w:rPr>
        <w:t>C因果关系</w:t>
      </w:r>
    </w:p>
    <w:p>
      <w:pPr>
        <w:rPr>
          <w:rFonts w:ascii="仿宋_GB2312" w:eastAsia="仿宋_GB2312"/>
          <w:color w:val="333333"/>
          <w:szCs w:val="28"/>
        </w:rPr>
      </w:pPr>
      <w:r>
        <w:rPr>
          <w:rFonts w:hint="eastAsia" w:ascii="仿宋_GB2312" w:eastAsia="仿宋_GB2312"/>
          <w:color w:val="333333"/>
        </w:rPr>
        <w:t xml:space="preserve">D损害  </w:t>
      </w:r>
      <w:r>
        <w:rPr>
          <w:rFonts w:ascii="仿宋_GB2312" w:eastAsia="仿宋_GB2312"/>
          <w:color w:val="333333"/>
          <w:szCs w:val="28"/>
        </w:rPr>
        <w:tab/>
      </w:r>
    </w:p>
    <w:p>
      <w:pPr>
        <w:rPr>
          <w:rFonts w:ascii="仿宋_GB2312" w:eastAsia="仿宋_GB2312"/>
          <w:color w:val="333333"/>
        </w:rPr>
      </w:pPr>
      <w:r>
        <w:rPr>
          <w:rFonts w:hint="eastAsia" w:ascii="仿宋_GB2312" w:eastAsia="仿宋_GB2312"/>
          <w:color w:val="333333"/>
          <w:szCs w:val="28"/>
        </w:rPr>
        <w:t>E行为违法性</w:t>
      </w:r>
      <w:r>
        <w:rPr>
          <w:rFonts w:ascii="仿宋_GB2312" w:eastAsia="仿宋_GB2312"/>
          <w:color w:val="333333"/>
          <w:szCs w:val="28"/>
        </w:rPr>
        <w:tab/>
      </w:r>
      <w:r>
        <w:rPr>
          <w:rFonts w:ascii="仿宋_GB2312" w:eastAsia="仿宋_GB2312"/>
          <w:color w:val="333333"/>
          <w:szCs w:val="28"/>
        </w:rPr>
        <w:tab/>
      </w:r>
      <w:r>
        <w:rPr>
          <w:rFonts w:ascii="仿宋_GB2312" w:eastAsia="仿宋_GB2312"/>
          <w:color w:val="333333"/>
          <w:szCs w:val="28"/>
        </w:rPr>
        <w:t xml:space="preserve">   </w:t>
      </w:r>
      <w:r>
        <w:rPr>
          <w:rFonts w:ascii="仿宋_GB2312" w:eastAsia="仿宋_GB2312"/>
          <w:color w:val="333333"/>
        </w:rPr>
        <w:tab/>
      </w:r>
    </w:p>
    <w:p>
      <w:pPr>
        <w:rPr>
          <w:rFonts w:ascii="仿宋_GB2312" w:eastAsia="仿宋_GB2312"/>
          <w:b/>
          <w:bCs w:val="0"/>
          <w:color w:val="333333"/>
        </w:rPr>
      </w:pPr>
      <w:r>
        <w:rPr>
          <w:b/>
          <w:bCs w:val="0"/>
          <w:color w:val="333333"/>
        </w:rPr>
        <w:t>3</w:t>
      </w:r>
      <w:r>
        <w:rPr>
          <w:rFonts w:hint="eastAsia"/>
          <w:b/>
          <w:bCs w:val="0"/>
          <w:color w:val="333333"/>
        </w:rPr>
        <w:t>.</w:t>
      </w:r>
      <w:r>
        <w:rPr>
          <w:rFonts w:ascii="仿宋_GB2312" w:eastAsia="仿宋_GB2312"/>
          <w:b/>
          <w:bCs w:val="0"/>
          <w:color w:val="333333"/>
        </w:rPr>
        <w:t xml:space="preserve"> </w:t>
      </w:r>
      <w:r>
        <w:rPr>
          <w:rFonts w:hint="eastAsia" w:ascii="仿宋_GB2312" w:eastAsia="仿宋_GB2312"/>
          <w:b/>
          <w:bCs w:val="0"/>
          <w:color w:val="333333"/>
        </w:rPr>
        <w:t>名词解释题</w:t>
      </w:r>
    </w:p>
    <w:p>
      <w:pPr>
        <w:rPr>
          <w:rFonts w:ascii="仿宋_GB2312" w:eastAsia="仿宋_GB2312"/>
          <w:color w:val="333333"/>
        </w:rPr>
      </w:pPr>
      <w:r>
        <w:rPr>
          <w:rFonts w:hint="eastAsia" w:ascii="仿宋_GB2312" w:eastAsia="仿宋_GB2312"/>
          <w:color w:val="333333"/>
        </w:rPr>
        <w:t>（1）侵权责任——</w:t>
      </w:r>
    </w:p>
    <w:p>
      <w:pPr>
        <w:rPr>
          <w:rFonts w:ascii="仿宋_GB2312" w:eastAsia="仿宋_GB2312"/>
          <w:b/>
          <w:color w:val="333333"/>
          <w:szCs w:val="30"/>
        </w:rPr>
      </w:pPr>
      <w:r>
        <w:rPr>
          <w:rFonts w:hint="eastAsia" w:ascii="仿宋_GB2312" w:eastAsia="仿宋_GB2312"/>
          <w:b/>
          <w:color w:val="333333"/>
          <w:szCs w:val="30"/>
        </w:rPr>
        <w:t>4.简答题</w:t>
      </w:r>
    </w:p>
    <w:p>
      <w:pPr>
        <w:rPr>
          <w:rFonts w:ascii="仿宋_GB2312" w:eastAsia="仿宋_GB2312"/>
          <w:color w:val="333333"/>
          <w:szCs w:val="30"/>
        </w:rPr>
      </w:pPr>
      <w:r>
        <w:rPr>
          <w:rFonts w:hint="eastAsia" w:ascii="仿宋_GB2312" w:eastAsia="仿宋_GB2312"/>
          <w:color w:val="333333"/>
          <w:szCs w:val="30"/>
        </w:rPr>
        <w:t>（1）简述正当防卫的构成要件</w:t>
      </w:r>
      <w:r>
        <w:rPr>
          <w:rFonts w:ascii="仿宋_GB2312" w:eastAsia="仿宋_GB2312"/>
          <w:color w:val="333333"/>
          <w:szCs w:val="30"/>
        </w:rPr>
        <w:t>。</w:t>
      </w:r>
    </w:p>
    <w:p>
      <w:pPr>
        <w:rPr>
          <w:rFonts w:ascii="黑体" w:eastAsia="黑体"/>
          <w:b/>
          <w:bCs/>
          <w:color w:val="333333"/>
        </w:rPr>
      </w:pPr>
      <w:r>
        <w:rPr>
          <w:rFonts w:hint="eastAsia" w:ascii="仿宋_GB2312" w:eastAsia="仿宋_GB2312"/>
          <w:b/>
          <w:color w:val="333333"/>
          <w:szCs w:val="30"/>
        </w:rPr>
        <w:t>5.</w:t>
      </w:r>
      <w:r>
        <w:rPr>
          <w:rFonts w:hint="eastAsia" w:ascii="黑体" w:eastAsia="黑体"/>
          <w:b/>
          <w:bCs/>
          <w:color w:val="333333"/>
        </w:rPr>
        <w:t>论述题</w:t>
      </w:r>
    </w:p>
    <w:p>
      <w:pPr>
        <w:rPr>
          <w:rFonts w:ascii="仿宋_GB2312" w:eastAsia="仿宋_GB2312"/>
          <w:color w:val="333333"/>
        </w:rPr>
      </w:pPr>
      <w:r>
        <w:rPr>
          <w:rFonts w:hint="eastAsia" w:ascii="仿宋_GB2312" w:eastAsia="仿宋_GB2312"/>
          <w:color w:val="333333"/>
        </w:rPr>
        <w:t>（</w:t>
      </w:r>
      <w:r>
        <w:rPr>
          <w:rFonts w:ascii="仿宋_GB2312" w:eastAsia="仿宋_GB2312"/>
          <w:color w:val="333333"/>
        </w:rPr>
        <w:t>1）试述</w:t>
      </w:r>
      <w:r>
        <w:rPr>
          <w:rFonts w:hint="eastAsia" w:ascii="仿宋_GB2312" w:eastAsia="仿宋_GB2312"/>
          <w:color w:val="333333"/>
        </w:rPr>
        <w:t>侵权责任法上的相当因果关系。</w:t>
      </w:r>
    </w:p>
    <w:p>
      <w:pPr>
        <w:rPr>
          <w:rFonts w:ascii="仿宋_GB2312" w:eastAsia="仿宋_GB2312"/>
          <w:b/>
          <w:color w:val="333333"/>
        </w:rPr>
      </w:pPr>
      <w:r>
        <w:rPr>
          <w:rFonts w:hint="eastAsia" w:ascii="仿宋_GB2312" w:eastAsia="仿宋_GB2312"/>
          <w:b/>
          <w:color w:val="333333"/>
        </w:rPr>
        <w:t>6.案例分析题</w:t>
      </w:r>
    </w:p>
    <w:p>
      <w:pPr>
        <w:rPr>
          <w:rFonts w:ascii="仿宋_GB2312" w:eastAsia="仿宋_GB2312"/>
          <w:color w:val="333333"/>
        </w:rPr>
      </w:pPr>
      <w:r>
        <w:rPr>
          <w:rFonts w:hint="eastAsia" w:ascii="仿宋_GB2312" w:eastAsia="仿宋_GB2312"/>
          <w:color w:val="333333"/>
        </w:rPr>
        <w:t>甲系某中学初中学生，课间活动在操场上打蓝球时被脱落的球筐砸伤头部。外校来打球的乙用三轮送甲去医院，路上与骑摩托车逆行的丙相撞，乙受轻伤，甲头部再受撞击。甲经治疗后留下后遗症，经鉴定为头部反复受撞失血过多所致。甲父要求学校、乙、丙对此共同承担责任。问：</w:t>
      </w:r>
    </w:p>
    <w:p>
      <w:pPr>
        <w:rPr>
          <w:rFonts w:ascii="仿宋_GB2312" w:eastAsia="仿宋_GB2312"/>
          <w:color w:val="333333"/>
        </w:rPr>
      </w:pPr>
      <w:r>
        <w:rPr>
          <w:rFonts w:hint="eastAsia" w:ascii="仿宋_GB2312" w:eastAsia="仿宋_GB2312"/>
          <w:color w:val="333333"/>
        </w:rPr>
        <w:t>(1)甲父的要求能否受到支持？为什么？</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简体">
    <w:altName w:val="微软雅黑"/>
    <w:panose1 w:val="00000000000000000000"/>
    <w:charset w:val="86"/>
    <w:family w:val="roma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I2NmQ4MGM1MGE0M2RiMzMzOTI2ODU3YmNjZWQ0ZDkifQ=="/>
  </w:docVars>
  <w:rsids>
    <w:rsidRoot w:val="00702D58"/>
    <w:rsid w:val="00003FEB"/>
    <w:rsid w:val="000B40A7"/>
    <w:rsid w:val="00260A59"/>
    <w:rsid w:val="002A603F"/>
    <w:rsid w:val="003109AC"/>
    <w:rsid w:val="003C50D7"/>
    <w:rsid w:val="003E6504"/>
    <w:rsid w:val="00405EBF"/>
    <w:rsid w:val="00465ADA"/>
    <w:rsid w:val="004958A1"/>
    <w:rsid w:val="004A3DDE"/>
    <w:rsid w:val="004C5E58"/>
    <w:rsid w:val="004E48D6"/>
    <w:rsid w:val="006515A6"/>
    <w:rsid w:val="00674968"/>
    <w:rsid w:val="00697204"/>
    <w:rsid w:val="006C477E"/>
    <w:rsid w:val="006F745B"/>
    <w:rsid w:val="00702D58"/>
    <w:rsid w:val="007878B7"/>
    <w:rsid w:val="009076A0"/>
    <w:rsid w:val="00992FA5"/>
    <w:rsid w:val="00A13223"/>
    <w:rsid w:val="00A26AC8"/>
    <w:rsid w:val="00A52AAE"/>
    <w:rsid w:val="00B71DBE"/>
    <w:rsid w:val="00BA6248"/>
    <w:rsid w:val="00C56FEF"/>
    <w:rsid w:val="00D0724C"/>
    <w:rsid w:val="00D13B32"/>
    <w:rsid w:val="00D44FBE"/>
    <w:rsid w:val="00DE6035"/>
    <w:rsid w:val="00E20688"/>
    <w:rsid w:val="00E425B5"/>
    <w:rsid w:val="00EC23DE"/>
    <w:rsid w:val="00F06C58"/>
    <w:rsid w:val="00F821A4"/>
    <w:rsid w:val="08474457"/>
    <w:rsid w:val="295A38C3"/>
    <w:rsid w:val="58C6010C"/>
    <w:rsid w:val="68241BCB"/>
    <w:rsid w:val="6E171A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autoRedefine/>
    <w:semiHidden/>
    <w:unhideWhenUsed/>
    <w:qFormat/>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autoRedefine/>
    <w:qFormat/>
    <w:uiPriority w:val="0"/>
    <w:pPr>
      <w:tabs>
        <w:tab w:val="center" w:pos="4153"/>
        <w:tab w:val="right" w:pos="8306"/>
      </w:tabs>
      <w:snapToGrid w:val="0"/>
      <w:jc w:val="left"/>
    </w:pPr>
    <w:rPr>
      <w:sz w:val="18"/>
      <w:szCs w:val="18"/>
    </w:rPr>
  </w:style>
  <w:style w:type="paragraph" w:styleId="3">
    <w:name w:val="header"/>
    <w:basedOn w:val="1"/>
    <w:link w:val="6"/>
    <w:autoRedefine/>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autoRedefine/>
    <w:qFormat/>
    <w:uiPriority w:val="0"/>
    <w:rPr>
      <w:kern w:val="2"/>
      <w:sz w:val="18"/>
      <w:szCs w:val="18"/>
    </w:rPr>
  </w:style>
  <w:style w:type="character" w:customStyle="1" w:styleId="7">
    <w:name w:val="页脚 字符"/>
    <w:basedOn w:val="5"/>
    <w:link w:val="2"/>
    <w:autoRedefine/>
    <w:qFormat/>
    <w:uiPriority w:val="0"/>
    <w:rPr>
      <w:kern w:val="2"/>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zkb</Company>
  <Pages>3</Pages>
  <Words>420</Words>
  <Characters>2396</Characters>
  <Lines>19</Lines>
  <Paragraphs>5</Paragraphs>
  <TotalTime>1</TotalTime>
  <ScaleCrop>false</ScaleCrop>
  <LinksUpToDate>false</LinksUpToDate>
  <CharactersWithSpaces>2811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2023-05-13T02:10:00Z</dcterms:created>
  <dc:creator>lzz</dc:creator>
  <cp:lastModifiedBy>叶宁</cp:lastModifiedBy>
  <cp:lastPrinted>2023-02-22T01:32:00Z</cp:lastPrinted>
  <dcterms:modified xsi:type="dcterms:W3CDTF">2024-01-11T08:23:24Z</dcterms:modified>
  <dc:title>《生物化学（三）》课程考试说明</dc:title>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240E15E23C5F4B48A2C5AB3F8DBD8BBC</vt:lpwstr>
  </property>
</Properties>
</file>