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767" w:firstLineChars="800"/>
        <w:rPr>
          <w:rFonts w:ascii="方正仿宋简体" w:eastAsia="黑体"/>
          <w:color w:val="333333"/>
        </w:rPr>
      </w:pPr>
      <w:r>
        <w:rPr>
          <w:rFonts w:hint="eastAsia" w:ascii="黑体" w:eastAsia="黑体"/>
          <w:b/>
          <w:bCs/>
          <w:color w:val="333333"/>
        </w:rPr>
        <w:t>《中小学教育管理》（课程代码：</w:t>
      </w:r>
      <w:r>
        <w:rPr>
          <w:rFonts w:hint="eastAsia" w:ascii="黑体" w:hAnsi="Times New Roman" w:eastAsia="黑体" w:cs="Times New Roman"/>
          <w:b/>
          <w:bCs/>
          <w:color w:val="333333"/>
          <w:kern w:val="2"/>
          <w:sz w:val="21"/>
          <w:szCs w:val="24"/>
        </w:rPr>
        <w:t>14446</w:t>
      </w:r>
      <w:r>
        <w:rPr>
          <w:rFonts w:hint="eastAsia" w:ascii="黑体" w:eastAsia="黑体"/>
          <w:b/>
          <w:bCs/>
          <w:color w:val="333333"/>
        </w:rPr>
        <w:t xml:space="preserve"> ）课程考试大纲</w:t>
      </w:r>
    </w:p>
    <w:p>
      <w:pPr>
        <w:ind w:right="41" w:firstLine="440" w:firstLineChars="200"/>
        <w:rPr>
          <w:rFonts w:ascii="仿宋_GB2312" w:eastAsia="仿宋_GB2312"/>
          <w:color w:val="333333"/>
        </w:rPr>
      </w:pPr>
      <w:r>
        <w:rPr>
          <w:rFonts w:ascii="仿宋_GB2312" w:eastAsia="仿宋_GB2312"/>
          <w:color w:val="333333"/>
        </w:rPr>
        <w:t> </w:t>
      </w:r>
    </w:p>
    <w:p>
      <w:pPr>
        <w:ind w:right="41" w:firstLine="44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高等教育自学考试课程考试大纲》的要求以及全国统考课程命题的有关规定，特制定本大纲。</w:t>
      </w:r>
    </w:p>
    <w:p>
      <w:pPr>
        <w:ind w:right="41" w:firstLine="442" w:firstLineChars="200"/>
        <w:rPr>
          <w:rFonts w:ascii="黑体" w:eastAsia="黑体"/>
          <w:b/>
          <w:bCs/>
          <w:color w:val="333333"/>
        </w:rPr>
      </w:pPr>
      <w:r>
        <w:rPr>
          <w:rFonts w:hint="eastAsia" w:ascii="黑体" w:eastAsia="黑体"/>
          <w:b/>
          <w:bCs/>
          <w:color w:val="333333"/>
        </w:rPr>
        <w:t>一、课程性质和考试目标</w:t>
      </w:r>
      <w:bookmarkStart w:id="0" w:name="_GoBack"/>
      <w:bookmarkEnd w:id="0"/>
    </w:p>
    <w:p>
      <w:pPr>
        <w:ind w:right="41" w:firstLine="440" w:firstLineChars="200"/>
        <w:rPr>
          <w:rFonts w:ascii="仿宋_GB2312" w:eastAsia="仿宋_GB2312"/>
          <w:color w:val="auto"/>
        </w:rPr>
      </w:pPr>
      <w:r>
        <w:rPr>
          <w:rFonts w:ascii="仿宋_GB2312" w:eastAsia="仿宋_GB2312"/>
          <w:color w:val="333333"/>
        </w:rPr>
        <w:t>1．课程性质</w:t>
      </w:r>
    </w:p>
    <w:p>
      <w:pPr>
        <w:ind w:right="41" w:firstLine="420"/>
        <w:rPr>
          <w:rFonts w:ascii="仿宋_GB2312" w:eastAsia="仿宋_GB2312"/>
          <w:color w:val="333333"/>
        </w:rPr>
      </w:pPr>
      <w:r>
        <w:rPr>
          <w:rFonts w:hint="eastAsia" w:ascii="仿宋_GB2312" w:eastAsia="仿宋_GB2312"/>
          <w:color w:val="auto"/>
        </w:rPr>
        <w:t>"中小学教育管理"是高等教育自学考试小学教育专业（专升本）的一门选修课程【</w:t>
      </w:r>
      <w:r>
        <w:rPr>
          <w:rFonts w:hint="eastAsia" w:ascii="仿宋_GB2312" w:eastAsia="仿宋_GB2312"/>
        </w:rPr>
        <w:t>通知单里没有写课程性质，请核实】。设置本课程，旨在向考生介绍中小学教育管理的基本理论、中小学管理的主要任务和方法，【如果是面向小学教育专业，可以把“中”删除】拓展考生的管理知识和视野，帮助考生认识教育管理的基本规律和原理，更新教育管理观念，提高应用教育管理理论分析和解决学校管</w:t>
      </w:r>
      <w:r>
        <w:rPr>
          <w:rFonts w:hint="eastAsia" w:ascii="仿宋_GB2312" w:eastAsia="仿宋_GB2312"/>
          <w:color w:val="333333"/>
        </w:rPr>
        <w:t>理实践问题的能力。</w:t>
      </w:r>
    </w:p>
    <w:p>
      <w:pPr>
        <w:ind w:right="41" w:firstLine="420"/>
        <w:rPr>
          <w:rFonts w:ascii="仿宋_GB2312" w:eastAsia="仿宋_GB2312"/>
          <w:color w:val="333333"/>
        </w:rPr>
      </w:pPr>
      <w:r>
        <w:rPr>
          <w:rFonts w:hint="eastAsia" w:ascii="仿宋_GB2312" w:eastAsia="仿宋_GB2312"/>
          <w:color w:val="333333"/>
        </w:rPr>
        <w:t>"中小学教育管理"属于理论和实践结合，偏重实践的课程，不仅关注教育管理的基本理论和原理，更加关注管理理论在实践中的应用。</w:t>
      </w:r>
    </w:p>
    <w:p>
      <w:pPr>
        <w:ind w:right="41" w:firstLine="440" w:firstLineChars="200"/>
        <w:rPr>
          <w:rFonts w:ascii="仿宋_GB2312" w:eastAsia="仿宋_GB2312"/>
          <w:color w:val="333333"/>
        </w:rPr>
      </w:pPr>
      <w:r>
        <w:rPr>
          <w:rFonts w:ascii="仿宋_GB2312" w:eastAsia="仿宋_GB2312"/>
          <w:color w:val="333333"/>
        </w:rPr>
        <w:t>2．考试目标</w:t>
      </w:r>
    </w:p>
    <w:p>
      <w:pPr>
        <w:ind w:right="41"/>
        <w:rPr>
          <w:rFonts w:ascii="仿宋_GB2312" w:eastAsia="仿宋_GB2312"/>
        </w:rPr>
      </w:pPr>
      <w:r>
        <w:rPr>
          <w:rFonts w:ascii="仿宋_GB2312" w:eastAsia="仿宋_GB2312"/>
          <w:color w:val="333333"/>
        </w:rPr>
        <w:t xml:space="preserve">   </w:t>
      </w:r>
      <w:r>
        <w:rPr>
          <w:rFonts w:hint="eastAsia" w:ascii="仿宋_GB2312" w:eastAsia="仿宋_GB2312"/>
          <w:color w:val="333333"/>
        </w:rPr>
        <w:t>通</w:t>
      </w:r>
      <w:r>
        <w:rPr>
          <w:rFonts w:hint="eastAsia" w:ascii="仿宋_GB2312" w:eastAsia="仿宋_GB2312"/>
        </w:rPr>
        <w:t>过自学和考试，使得考生能够：</w:t>
      </w:r>
    </w:p>
    <w:p>
      <w:pPr>
        <w:ind w:right="41" w:firstLine="440" w:firstLineChars="200"/>
        <w:rPr>
          <w:rFonts w:ascii="仿宋_GB2312" w:eastAsia="仿宋_GB2312"/>
        </w:rPr>
      </w:pPr>
      <w:r>
        <w:rPr>
          <w:rFonts w:hint="eastAsia" w:ascii="仿宋_GB2312" w:eastAsia="仿宋_GB2312"/>
        </w:rPr>
        <w:t>（1）初步了解中小学教育管理的基本理论和一般原则，培养正确的管理理念。</w:t>
      </w:r>
    </w:p>
    <w:p>
      <w:pPr>
        <w:ind w:right="41" w:firstLine="440" w:firstLineChars="200"/>
        <w:rPr>
          <w:rFonts w:ascii="仿宋_GB2312" w:eastAsia="仿宋_GB2312"/>
        </w:rPr>
      </w:pPr>
      <w:r>
        <w:rPr>
          <w:rFonts w:hint="eastAsia" w:ascii="仿宋_GB2312" w:eastAsia="仿宋_GB2312"/>
        </w:rPr>
        <w:t>（2）基本掌握中小学教育管理研究的方法及教育管理的主要任务和方法，学会科学认识、分析日常教育管理现象，提高中小学管理的规范性和科学性。</w:t>
      </w:r>
    </w:p>
    <w:p>
      <w:pPr>
        <w:ind w:right="41" w:firstLine="440" w:firstLineChars="200"/>
        <w:rPr>
          <w:rFonts w:ascii="仿宋_GB2312" w:eastAsia="仿宋_GB2312"/>
        </w:rPr>
      </w:pPr>
      <w:r>
        <w:rPr>
          <w:rFonts w:hint="eastAsia" w:ascii="仿宋_GB2312" w:eastAsia="仿宋_GB2312"/>
        </w:rPr>
        <w:t>（3）能够用教育管理的理论和知识解决小学管理中的实践问题，并根据教育管理理论和实践发展、创新中小学管理的方式和方法。</w:t>
      </w:r>
    </w:p>
    <w:p>
      <w:pPr>
        <w:ind w:right="41" w:firstLine="440" w:firstLineChars="200"/>
        <w:rPr>
          <w:rFonts w:ascii="仿宋_GB2312" w:eastAsia="仿宋_GB2312"/>
        </w:rPr>
      </w:pPr>
      <w:r>
        <w:rPr>
          <w:rFonts w:hint="eastAsia" w:ascii="仿宋_GB2312" w:eastAsia="仿宋_GB2312"/>
        </w:rPr>
        <w:t>【如果是面向小学教育专业，可以把“中”删除】</w:t>
      </w:r>
    </w:p>
    <w:p>
      <w:pPr>
        <w:ind w:right="41" w:firstLine="442" w:firstLineChars="200"/>
        <w:rPr>
          <w:rFonts w:ascii="黑体" w:eastAsia="黑体"/>
          <w:b/>
          <w:bCs/>
        </w:rPr>
      </w:pPr>
      <w:r>
        <w:rPr>
          <w:rFonts w:hint="eastAsia" w:ascii="黑体" w:eastAsia="黑体"/>
          <w:b/>
          <w:bCs/>
        </w:rPr>
        <w:t>二、考试内容和考核要求</w:t>
      </w:r>
    </w:p>
    <w:p>
      <w:pPr>
        <w:ind w:right="41"/>
        <w:rPr>
          <w:rFonts w:ascii="仿宋_GB2312" w:eastAsia="仿宋_GB2312"/>
        </w:rPr>
      </w:pPr>
      <w:r>
        <w:rPr>
          <w:rFonts w:ascii="仿宋_GB2312" w:eastAsia="仿宋_GB2312"/>
        </w:rPr>
        <w:t xml:space="preserve">    </w:t>
      </w:r>
      <w:r>
        <w:rPr>
          <w:rFonts w:hint="eastAsia" w:ascii="仿宋_GB2312" w:eastAsia="仿宋_GB2312"/>
        </w:rPr>
        <w:t>本课程的考试内容以课程考试大纲为依据。其内容为：</w:t>
      </w:r>
    </w:p>
    <w:p>
      <w:pPr>
        <w:ind w:right="41" w:firstLine="440" w:firstLineChars="200"/>
        <w:rPr>
          <w:rFonts w:ascii="仿宋_GB2312" w:eastAsia="仿宋_GB2312"/>
          <w:color w:val="333333"/>
        </w:rPr>
      </w:pPr>
      <w:r>
        <w:rPr>
          <w:rFonts w:hint="eastAsia" w:ascii="仿宋_GB2312" w:eastAsia="仿宋_GB2312"/>
          <w:color w:val="333333"/>
        </w:rPr>
        <w:t>第一章“管理与教育管理”需要掌握：管理的概念；管理的意义；向管理要质量；教育管理的含义；教育行政的含义；学校管理的含义；教育管理的特点；教育管理与一般管理的区别与联系。</w:t>
      </w:r>
    </w:p>
    <w:p>
      <w:pPr>
        <w:ind w:right="41" w:firstLine="440" w:firstLineChars="200"/>
        <w:rPr>
          <w:rFonts w:ascii="仿宋_GB2312" w:eastAsia="仿宋_GB2312"/>
          <w:color w:val="333333"/>
        </w:rPr>
      </w:pPr>
      <w:r>
        <w:rPr>
          <w:rFonts w:hint="eastAsia" w:ascii="仿宋_GB2312" w:eastAsia="仿宋_GB2312"/>
          <w:color w:val="333333"/>
        </w:rPr>
        <w:t>第二章“教育管理的理论基础”需要掌握：科学管理理论的主要观点；一般管理理论的主要观点；行政组织理论的主要观点；古典管理理论形成的时代背景及其对教育管理的启示；人际关系理论的主要观点；马斯洛的需要层次理论的主要观点；麦格雷戈的 X 理论和 Y 理论的主要观点；赫茨伯格的双因素激励理论的主要观点；人本主义管理理论对古典管理理论的发展；运用人本主义管理理论分析学校管理案例；社会系统理论的主要观点；组织决策理论的主要观点；系理论的主要观点；学习型组织理论的主要观点；现代管理理论发展的时代背景及其在教育管理领域中的应用；运用现代管理理论的一些知识分析和解决学校管理中的具体问题。</w:t>
      </w:r>
    </w:p>
    <w:p>
      <w:pPr>
        <w:ind w:right="41" w:firstLine="440" w:firstLineChars="200"/>
        <w:rPr>
          <w:rFonts w:ascii="仿宋_GB2312" w:eastAsia="仿宋_GB2312"/>
          <w:color w:val="333333"/>
        </w:rPr>
      </w:pPr>
      <w:r>
        <w:rPr>
          <w:rFonts w:hint="eastAsia" w:ascii="仿宋_GB2312" w:eastAsia="仿宋_GB2312"/>
          <w:color w:val="333333"/>
        </w:rPr>
        <w:t>第三章“学校组织特性及其管理”需要掌握：组织的定义；组织的要素；组织的特征；组织各要素对于组织的意义。开放系统的基本特征；作为开放系统的学校的关键要素；开放的系统观；学校的开放性；前瞻性原则；动态性原则；系统性原则；效益性原则；学校管理原则对学校管理的指导意义。</w:t>
      </w:r>
    </w:p>
    <w:p>
      <w:pPr>
        <w:ind w:right="41" w:firstLine="440" w:firstLineChars="200"/>
        <w:rPr>
          <w:rFonts w:ascii="仿宋_GB2312" w:eastAsia="仿宋_GB2312"/>
          <w:color w:val="333333"/>
        </w:rPr>
      </w:pPr>
      <w:r>
        <w:rPr>
          <w:rFonts w:hint="eastAsia" w:ascii="仿宋_GB2312" w:eastAsia="仿宋_GB2312"/>
          <w:color w:val="333333"/>
        </w:rPr>
        <w:t>第四章“教育管理研究的方法论”需要掌握：方法论的含义；方法论与具体方法的关系；教育管理研究的方法论体系；哲学方法论是教育管理研究的方法论基础；系统方法论对教育管理研究的指导作用；具体方法的综合运用；教育管理研究中的实事求是观点；教育管理研究中的普遍联系观点；教育管理研究中的动态发展观点；教育管理研究中的矛盾统一观点；教育管理研究中的质量结合观点；哲学方法论在教育管理研究中的应用；系统方法论的基本思想；系统方法论对教育管理研究的指会：系统方法论在教育管理研究中的应用；了解各具体方法的含义；把握具体方法的综合运用；设计一个某种或几种具体方法在教育管理实践中综合运用的方案。</w:t>
      </w:r>
    </w:p>
    <w:p>
      <w:pPr>
        <w:ind w:right="41" w:firstLine="440" w:firstLineChars="200"/>
        <w:rPr>
          <w:rFonts w:ascii="仿宋_GB2312" w:eastAsia="仿宋_GB2312"/>
          <w:color w:val="333333"/>
        </w:rPr>
      </w:pPr>
      <w:r>
        <w:rPr>
          <w:rFonts w:hint="eastAsia" w:ascii="仿宋_GB2312" w:eastAsia="仿宋_GB2312"/>
          <w:color w:val="333333"/>
        </w:rPr>
        <w:t>第五章“学校规划”需要掌握：学校规划的内涵；科学性原则；系统性原则；可操作原则；民主性原则；连续性原则；学校规划制定的程序；根据学校规划制定的程序和方法帮助学校制定学校发展规划；问题树分析法；SWOT 分析法；德尔菲法；标杆分析法。</w:t>
      </w:r>
    </w:p>
    <w:p>
      <w:pPr>
        <w:ind w:right="41" w:firstLine="440" w:firstLineChars="200"/>
        <w:rPr>
          <w:rFonts w:ascii="仿宋_GB2312" w:eastAsia="仿宋_GB2312"/>
          <w:color w:val="333333"/>
        </w:rPr>
      </w:pPr>
      <w:r>
        <w:rPr>
          <w:rFonts w:hint="eastAsia" w:ascii="仿宋_GB2312" w:eastAsia="仿宋_GB2312"/>
          <w:color w:val="333333"/>
        </w:rPr>
        <w:t>第八章“学校人员管理”需要掌握：我国中小学校长任用、选拔与考核的基本要求；我国中小学校长的职责和职权；不同国家对校长素质的认识；校长职级制改革的意义；校长负责制与学校民主管理；我国中小学教师资格与任用的基本规定；教师激励的主要策略；教师专业发展的内容与途径；学生常规管理的主要内容；学生常规管理的要求；英、美、日三国学生管理的特色；根据学生的兴趣特点设计一个学生社团活动和管理方案。</w:t>
      </w:r>
    </w:p>
    <w:p>
      <w:pPr>
        <w:ind w:right="41" w:firstLine="440" w:firstLineChars="200"/>
        <w:rPr>
          <w:rFonts w:ascii="仿宋_GB2312" w:eastAsia="仿宋_GB2312"/>
          <w:color w:val="333333"/>
        </w:rPr>
      </w:pPr>
      <w:r>
        <w:rPr>
          <w:rFonts w:hint="eastAsia" w:ascii="仿宋_GB2312" w:eastAsia="仿宋_GB2312"/>
          <w:color w:val="333333"/>
        </w:rPr>
        <w:t>第九章“学校财产和财务管理”需要掌握：学校财产管理的内涵；学校财产管理的要求；学校财产管理的意义；学校国有资产管理的原则和制度；学校设备购置和维护的要求；学校财务管理的内涵；学校预算管理的主要环节；学校预算编制的依据与原则；学校预算内资金和预算外资金的构成；学校支出管理的内容；学校资金管理的内容和基本要求；学校现金管理的内容和基本要求；学校支出管理的原则；学校财务分析报告的主要内容；学校财务报告的主要内容；编制一个项目预算方案。</w:t>
      </w:r>
    </w:p>
    <w:p>
      <w:pPr>
        <w:ind w:right="41" w:firstLine="440" w:firstLineChars="200"/>
        <w:rPr>
          <w:rFonts w:ascii="仿宋_GB2312" w:eastAsia="仿宋_GB2312"/>
          <w:color w:val="333333"/>
        </w:rPr>
      </w:pPr>
      <w:r>
        <w:rPr>
          <w:rFonts w:hint="eastAsia" w:ascii="仿宋_GB2312" w:eastAsia="仿宋_GB2312"/>
          <w:color w:val="333333"/>
        </w:rPr>
        <w:t>第十章“学校德育管理”需要掌握：德育管理的特点；学校管理与德育管理的关系；德育管理的要索；不同层次德育管理的关系及其对学校德育的意义；学校德育管理机制的内涵；导向机制；动力机制；协调机制；约束机制；导向机制、动力机制、协调机制和约束机制的实现；德育管理者的道德修养；提升德育管理者管理水平、教育素养和道德修养的途径。</w:t>
      </w:r>
    </w:p>
    <w:p>
      <w:pPr>
        <w:ind w:right="41" w:firstLine="440" w:firstLineChars="200"/>
        <w:rPr>
          <w:rFonts w:ascii="仿宋_GB2312" w:eastAsia="仿宋_GB2312"/>
          <w:color w:val="333333"/>
        </w:rPr>
      </w:pPr>
      <w:r>
        <w:rPr>
          <w:rFonts w:hint="eastAsia" w:ascii="仿宋_GB2312" w:eastAsia="仿宋_GB2312"/>
          <w:color w:val="333333"/>
        </w:rPr>
        <w:t>第十一章“学校课程管理”需要掌握：课程管理的内涵；学校对课程生成系统、课程实施系统和课程评价系统的管理任务；校本课程开发的程序；校本课程开发的主要模型；学校课程评价的内涵；学校课程评价的主体；学校课程评价的方式；学校课程评价的意义和功能；课程评价的标准。</w:t>
      </w:r>
    </w:p>
    <w:p>
      <w:pPr>
        <w:ind w:right="41" w:firstLine="440" w:firstLineChars="200"/>
        <w:rPr>
          <w:rFonts w:ascii="仿宋_GB2312" w:eastAsia="仿宋_GB2312"/>
          <w:color w:val="333333"/>
        </w:rPr>
      </w:pPr>
      <w:r>
        <w:rPr>
          <w:rFonts w:hint="eastAsia" w:ascii="仿宋_GB2312" w:eastAsia="仿宋_GB2312"/>
          <w:color w:val="333333"/>
        </w:rPr>
        <w:t>第十二章“学校教学管理”需要掌握：教学管理的主要任务；教学管理的原则；教学计划管理；教学活动过程管理；教务管理的具体任务和操作方法；编制一份教学计划；教学评价的定义；教学评价的功能；教学评价的类型；教学评价的程序；运用评价的方法和程序评价自己的课堂教学效果；教学资源的定义；教学资源开发和利用的主要途径；教学资源开发和利用的意义。</w:t>
      </w:r>
    </w:p>
    <w:p>
      <w:pPr>
        <w:ind w:right="41" w:firstLine="440" w:firstLineChars="200"/>
        <w:rPr>
          <w:rFonts w:ascii="仿宋_GB2312" w:eastAsia="仿宋_GB2312"/>
          <w:color w:val="333333"/>
        </w:rPr>
      </w:pPr>
      <w:r>
        <w:rPr>
          <w:rFonts w:hint="eastAsia" w:ascii="仿宋_GB2312" w:eastAsia="仿宋_GB2312"/>
          <w:color w:val="333333"/>
        </w:rPr>
        <w:t>第十三章“学校科研管理”需要掌握：校本研究；反思研究；学校教育科研组织的功能；学校教育科研管理运行机制；根据学校特点设计一个学校教育科研组织结构；学校教育科研评价的原则；学校教育科研评价的内容；学校教育科研评价的方式。</w:t>
      </w:r>
    </w:p>
    <w:p>
      <w:pPr>
        <w:ind w:right="41" w:firstLine="440" w:firstLineChars="200"/>
        <w:rPr>
          <w:rFonts w:ascii="仿宋_GB2312" w:eastAsia="仿宋_GB2312"/>
          <w:color w:val="333333"/>
        </w:rPr>
      </w:pPr>
      <w:r>
        <w:rPr>
          <w:rFonts w:hint="eastAsia" w:ascii="仿宋_GB2312" w:eastAsia="仿宋_GB2312"/>
          <w:color w:val="333333"/>
        </w:rPr>
        <w:t>第十四章“学校安全管理”需要掌握：学校安全管理的内涵；学校安全管理的理念；学生伤害事故、学校暴力事件、学校卫生安全、学校网络安全、学校交通安全、自然灾害和消防安全等安全事件发生的原因及其防范措施；我国中小学学校安全管理中存在的主要问题；学校安全管理的保障措施。</w:t>
      </w:r>
    </w:p>
    <w:p>
      <w:pPr>
        <w:ind w:right="41" w:firstLine="440" w:firstLineChars="200"/>
        <w:rPr>
          <w:rFonts w:ascii="仿宋_GB2312" w:eastAsia="仿宋_GB2312"/>
          <w:color w:val="333333"/>
        </w:rPr>
      </w:pPr>
      <w:r>
        <w:rPr>
          <w:rFonts w:hint="eastAsia" w:ascii="仿宋_GB2312" w:eastAsia="仿宋_GB2312"/>
          <w:color w:val="333333"/>
        </w:rPr>
        <w:t>第十五章“学校信息管理”需要掌握：教育信息化；教育管理信息化；信息时代引发的学校管理变革；学校信息管理的定义；学校管理信息系统的定义；学校信息资源的类别；学校管理信息系统的结构；学校主要管理信息系统及其主要内容；学校信息管理的过程；信息输人；信息处理；信息储存；信息输出；信息反馈；元数据；数据项；数据类；数据子类；数据集；数据子集；普通中小学校管理信息体系；结合自己的工作建立一个学校管理信息子集。</w:t>
      </w:r>
    </w:p>
    <w:p>
      <w:pPr>
        <w:ind w:right="41" w:firstLine="440" w:firstLineChars="200"/>
        <w:rPr>
          <w:rFonts w:ascii="仿宋_GB2312" w:eastAsia="仿宋_GB2312"/>
          <w:color w:val="333333"/>
        </w:rPr>
      </w:pPr>
      <w:r>
        <w:rPr>
          <w:rFonts w:hint="eastAsia" w:ascii="仿宋_GB2312" w:eastAsia="仿宋_GB2312"/>
          <w:color w:val="333333"/>
        </w:rPr>
        <w:t>第十六章“学校文化管理”需要掌握：文化；学校文化；学校文化与校园文化的区别；学校文化的"洋葱"模型；学校文化的"冰山"模型；不同模型的学校文化结构对于学校文化建设的启示；学校化管理的内涵；学校文化管理的主要任务；学校文化管理的指导思想；结合自己所在学校的文化建设情况，梳理和完善学校文化的核心价值观。</w:t>
      </w:r>
    </w:p>
    <w:p>
      <w:pPr>
        <w:ind w:right="41" w:firstLine="440" w:firstLineChars="200"/>
        <w:rPr>
          <w:rFonts w:ascii="仿宋_GB2312" w:eastAsia="仿宋_GB2312"/>
          <w:color w:val="333333"/>
        </w:rPr>
      </w:pPr>
      <w:r>
        <w:rPr>
          <w:rFonts w:hint="eastAsia" w:ascii="仿宋_GB2312" w:eastAsia="仿宋_GB2312"/>
          <w:color w:val="333333"/>
        </w:rPr>
        <w:t>第十七章“家校合作”需要掌握：家校合作的定义；家校合作的必要性；家校合作的主要类型；结合家校合作的每一种类型设计具体的家校合作活动。建立平等协商的家校合作组织；教会家长养育之道；促进家校双向沟通；组织家长志愿活动；引导家长参与决策；走进社区。</w:t>
      </w:r>
    </w:p>
    <w:p>
      <w:pPr>
        <w:ind w:right="41" w:firstLine="440" w:firstLineChars="200"/>
        <w:rPr>
          <w:rFonts w:ascii="仿宋_GB2312" w:eastAsia="仿宋_GB2312"/>
          <w:color w:val="333333"/>
        </w:rPr>
      </w:pPr>
      <w:r>
        <w:rPr>
          <w:rFonts w:hint="eastAsia" w:ascii="仿宋_GB2312" w:eastAsia="仿宋_GB2312"/>
          <w:color w:val="333333"/>
        </w:rPr>
        <w:t>第十八章“典型国家中小学管理的特点”需要掌握：英国中小学校长的任用；英国中小学教师的任用；英国教育行政体制；英国中小学校长和教师的培训；美国中小学校长的任用；美国中小学教师的任用；美国教育行政体制；美国中小学校长和教师的培训；法国中小学校长的任用；法国中小学教师的任用；法国教育行政体制；法国中小学校长和教师的培训；俄罗斯中小学校长的任用；俄罗斯中小学教师的任用；俄罗斯教育行政体制；俄罗斯中小学校长和教师的培训；德国中小学校长的任用；德国中小学教师的任用；德国教育行政体制；德国中小学校长和教师的培训。</w:t>
      </w:r>
    </w:p>
    <w:p>
      <w:pPr>
        <w:ind w:right="41" w:firstLine="442" w:firstLineChars="200"/>
        <w:rPr>
          <w:rFonts w:ascii="黑体" w:eastAsia="黑体"/>
          <w:b/>
          <w:bCs/>
          <w:color w:val="333333"/>
        </w:rPr>
      </w:pPr>
      <w:r>
        <w:rPr>
          <w:rFonts w:hint="eastAsia" w:ascii="黑体" w:eastAsia="黑体"/>
          <w:b/>
          <w:bCs/>
          <w:color w:val="333333"/>
        </w:rPr>
        <w:t>三、考试范围和考试说明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4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ind w:firstLine="44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1）以全国高等教育自学考试指导委员会颁发的本课程自学考试</w:t>
      </w:r>
      <w:r>
        <w:rPr>
          <w:rFonts w:hint="eastAsia" w:ascii="仿宋_GB2312" w:eastAsia="仿宋_GB2312"/>
          <w:color w:val="333333"/>
        </w:rPr>
        <w:t>大纲（见鲍传友主编《中小学教育管理》第2-</w:t>
      </w:r>
      <w:r>
        <w:rPr>
          <w:rFonts w:ascii="仿宋_GB2312" w:eastAsia="仿宋_GB2312"/>
          <w:color w:val="333333"/>
        </w:rPr>
        <w:t>27页，</w:t>
      </w:r>
      <w:r>
        <w:rPr>
          <w:rFonts w:hint="eastAsia" w:ascii="仿宋_GB2312" w:eastAsia="仿宋_GB2312"/>
          <w:color w:val="333333"/>
        </w:rPr>
        <w:t>高等教育出版社2</w:t>
      </w:r>
      <w:r>
        <w:rPr>
          <w:rFonts w:ascii="仿宋_GB2312" w:eastAsia="仿宋_GB2312"/>
          <w:color w:val="333333"/>
        </w:rPr>
        <w:t>016</w:t>
      </w:r>
      <w:r>
        <w:rPr>
          <w:rFonts w:hint="eastAsia" w:ascii="仿宋_GB2312" w:eastAsia="仿宋_GB2312"/>
          <w:color w:val="333333"/>
        </w:rPr>
        <w:t>年出版</w:t>
      </w:r>
      <w:r>
        <w:rPr>
          <w:rFonts w:ascii="仿宋_GB2312" w:eastAsia="仿宋_GB2312"/>
          <w:color w:val="333333"/>
        </w:rPr>
        <w:t>）为考试依据。</w:t>
      </w:r>
    </w:p>
    <w:p>
      <w:pPr>
        <w:ind w:firstLine="44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2）全国高等教育自学考试指导委员会指定的统编教材《</w:t>
      </w:r>
      <w:r>
        <w:rPr>
          <w:rFonts w:hint="eastAsia" w:ascii="仿宋_GB2312" w:eastAsia="仿宋_GB2312"/>
          <w:color w:val="333333"/>
        </w:rPr>
        <w:t>中小学教育管理》</w:t>
      </w:r>
      <w:r>
        <w:rPr>
          <w:rFonts w:ascii="仿宋_GB2312" w:eastAsia="仿宋_GB2312"/>
          <w:color w:val="333333"/>
        </w:rPr>
        <w:t>(</w:t>
      </w:r>
      <w:r>
        <w:rPr>
          <w:rFonts w:hint="eastAsia" w:ascii="仿宋_GB2312" w:eastAsia="仿宋_GB2312"/>
          <w:color w:val="333333"/>
        </w:rPr>
        <w:t>鲍传友主编《中小学教育管理》第2-</w:t>
      </w:r>
      <w:r>
        <w:rPr>
          <w:rFonts w:ascii="仿宋_GB2312" w:eastAsia="仿宋_GB2312"/>
          <w:color w:val="333333"/>
        </w:rPr>
        <w:t>27页，</w:t>
      </w:r>
      <w:r>
        <w:rPr>
          <w:rFonts w:hint="eastAsia" w:ascii="仿宋_GB2312" w:eastAsia="仿宋_GB2312"/>
          <w:color w:val="333333"/>
        </w:rPr>
        <w:t>高等教育出版社2</w:t>
      </w:r>
      <w:r>
        <w:rPr>
          <w:rFonts w:ascii="仿宋_GB2312" w:eastAsia="仿宋_GB2312"/>
          <w:color w:val="333333"/>
        </w:rPr>
        <w:t>016</w:t>
      </w:r>
      <w:r>
        <w:rPr>
          <w:rFonts w:hint="eastAsia" w:ascii="仿宋_GB2312" w:eastAsia="仿宋_GB2312"/>
          <w:color w:val="333333"/>
        </w:rPr>
        <w:t>年出版)</w:t>
      </w:r>
      <w:r>
        <w:rPr>
          <w:rFonts w:ascii="仿宋_GB2312" w:eastAsia="仿宋_GB2312"/>
          <w:color w:val="333333"/>
        </w:rPr>
        <w:t>为考试必读教材。</w:t>
      </w:r>
    </w:p>
    <w:p>
      <w:pPr>
        <w:ind w:firstLine="44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3）命题内容覆盖各章。</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rPr>
        <w:t>《中小学教育管理》课程考试，应考核应考者的基本理论、基本</w:t>
      </w:r>
      <w:r>
        <w:rPr>
          <w:rFonts w:hint="eastAsia" w:ascii="仿宋_GB2312" w:eastAsia="仿宋_GB2312"/>
          <w:color w:val="333333"/>
        </w:rPr>
        <w:t>知识和基本技能，以及联系实际、运用所学的理论分析问题和解决问题的能力，确保考试合格者达到全日制普通高等学校本专业相同课程的结业水平。</w:t>
      </w:r>
    </w:p>
    <w:p>
      <w:pPr>
        <w:ind w:firstLine="44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3.</w:t>
      </w:r>
      <w:r>
        <w:rPr>
          <w:rFonts w:ascii="仿宋_GB2312" w:eastAsia="仿宋_GB2312"/>
          <w:color w:val="333333"/>
        </w:rPr>
        <w:t>重点与覆盖的关系</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ascii="仿宋_GB2312" w:eastAsia="仿宋_GB2312"/>
          <w:color w:val="333333"/>
        </w:rPr>
        <w:t>50-60%。</w:t>
      </w:r>
    </w:p>
    <w:p>
      <w:pPr>
        <w:tabs>
          <w:tab w:val="left" w:pos="0"/>
          <w:tab w:val="left" w:pos="945"/>
        </w:tabs>
        <w:ind w:firstLine="44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ind w:firstLine="44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考试形式为闭卷笔试，答卷时间为150分钟，采用百分制，60分为及格线。</w:t>
      </w:r>
    </w:p>
    <w:p>
      <w:pPr>
        <w:tabs>
          <w:tab w:val="left" w:pos="945"/>
        </w:tabs>
        <w:ind w:firstLine="44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考试的题型有：单项选择题、</w:t>
      </w:r>
      <w:r>
        <w:rPr>
          <w:rFonts w:hint="eastAsia" w:ascii="仿宋_GB2312" w:eastAsia="仿宋_GB2312"/>
          <w:color w:val="333333"/>
        </w:rPr>
        <w:t>多项选择题、简答题、</w:t>
      </w:r>
      <w:r>
        <w:rPr>
          <w:rFonts w:ascii="仿宋_GB2312" w:eastAsia="仿宋_GB2312"/>
          <w:color w:val="333333"/>
        </w:rPr>
        <w:t>论述题。</w:t>
      </w:r>
    </w:p>
    <w:p>
      <w:pPr>
        <w:tabs>
          <w:tab w:val="left" w:pos="945"/>
        </w:tabs>
        <w:ind w:firstLine="44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本课程在试题中不同难度要求的分数比例为：容易20%，较易35%，较难35%，难10%。</w:t>
      </w:r>
    </w:p>
    <w:p>
      <w:pPr>
        <w:tabs>
          <w:tab w:val="left" w:pos="945"/>
        </w:tabs>
        <w:ind w:firstLine="44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本课程在试题中对不同能力层次要求的分数比例为：识记占30%，领会占40%；应用占30%。</w:t>
      </w:r>
    </w:p>
    <w:p>
      <w:pPr>
        <w:tabs>
          <w:tab w:val="left" w:pos="945"/>
        </w:tabs>
        <w:ind w:firstLine="44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ind w:firstLine="442" w:firstLineChars="200"/>
        <w:rPr>
          <w:rFonts w:ascii="黑体" w:eastAsia="黑体"/>
          <w:b/>
          <w:bCs/>
          <w:color w:val="333333"/>
        </w:rPr>
      </w:pPr>
      <w:r>
        <w:rPr>
          <w:rFonts w:hint="eastAsia" w:ascii="黑体" w:eastAsia="黑体"/>
          <w:b/>
          <w:bCs/>
          <w:color w:val="333333"/>
        </w:rPr>
        <w:t>五、《中小学教育管理》课程题型举例</w:t>
      </w:r>
    </w:p>
    <w:p>
      <w:pPr>
        <w:ind w:firstLine="440" w:firstLineChars="200"/>
        <w:rPr>
          <w:rFonts w:ascii="仿宋_GB2312" w:eastAsia="仿宋_GB2312"/>
          <w:color w:val="333333"/>
        </w:rPr>
      </w:pPr>
      <w:r>
        <w:rPr>
          <w:b/>
          <w:bCs/>
          <w:color w:val="333333"/>
        </w:rPr>
        <w:t>1</w:t>
      </w:r>
      <w:r>
        <w:rPr>
          <w:rFonts w:hint="eastAsia"/>
          <w:b/>
          <w:bCs/>
          <w:color w:val="333333"/>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ind w:firstLine="440" w:firstLineChars="200"/>
        <w:rPr>
          <w:rFonts w:ascii="仿宋_GB2312" w:eastAsia="仿宋_GB2312"/>
          <w:color w:val="333333"/>
        </w:rPr>
      </w:pPr>
      <w:r>
        <w:rPr>
          <w:rFonts w:hint="eastAsia" w:ascii="仿宋_GB2312" w:eastAsia="仿宋_GB2312"/>
          <w:color w:val="333333"/>
        </w:rPr>
        <w:t xml:space="preserve">（1）科学管理理论的倡导者是（ </w:t>
      </w:r>
      <w:r>
        <w:rPr>
          <w:rFonts w:ascii="仿宋_GB2312" w:eastAsia="仿宋_GB2312"/>
          <w:color w:val="333333"/>
        </w:rPr>
        <w:t xml:space="preserve">   </w:t>
      </w:r>
      <w:r>
        <w:rPr>
          <w:rFonts w:hint="eastAsia" w:ascii="仿宋_GB2312" w:eastAsia="仿宋_GB2312"/>
          <w:color w:val="333333"/>
        </w:rPr>
        <w:t>）</w:t>
      </w:r>
    </w:p>
    <w:p>
      <w:pPr>
        <w:ind w:firstLine="440" w:firstLineChars="200"/>
        <w:rPr>
          <w:rFonts w:ascii="仿宋_GB2312" w:eastAsia="仿宋_GB2312"/>
          <w:color w:val="333333"/>
        </w:rPr>
      </w:pPr>
      <w:r>
        <w:rPr>
          <w:rFonts w:hint="eastAsia" w:ascii="仿宋_GB2312" w:eastAsia="仿宋_GB2312"/>
          <w:color w:val="333333"/>
        </w:rPr>
        <w:t xml:space="preserve">A、泰勒 </w:t>
      </w:r>
      <w:r>
        <w:rPr>
          <w:rFonts w:ascii="仿宋_GB2312" w:eastAsia="仿宋_GB2312"/>
          <w:color w:val="333333"/>
        </w:rPr>
        <w:t xml:space="preserve">   B</w:t>
      </w:r>
      <w:r>
        <w:rPr>
          <w:rFonts w:hint="eastAsia" w:ascii="仿宋_GB2312" w:eastAsia="仿宋_GB2312"/>
          <w:color w:val="333333"/>
        </w:rPr>
        <w:t xml:space="preserve">、法约尔 </w:t>
      </w:r>
      <w:r>
        <w:rPr>
          <w:rFonts w:ascii="仿宋_GB2312" w:eastAsia="仿宋_GB2312"/>
          <w:color w:val="333333"/>
        </w:rPr>
        <w:t xml:space="preserve">  C</w:t>
      </w:r>
      <w:r>
        <w:rPr>
          <w:rFonts w:hint="eastAsia" w:ascii="仿宋_GB2312" w:eastAsia="仿宋_GB2312"/>
          <w:color w:val="333333"/>
        </w:rPr>
        <w:t xml:space="preserve">、韦伯 </w:t>
      </w:r>
      <w:r>
        <w:rPr>
          <w:rFonts w:ascii="仿宋_GB2312" w:eastAsia="仿宋_GB2312"/>
          <w:color w:val="333333"/>
        </w:rPr>
        <w:t xml:space="preserve">    D</w:t>
      </w:r>
      <w:r>
        <w:rPr>
          <w:rFonts w:hint="eastAsia" w:ascii="仿宋_GB2312" w:eastAsia="仿宋_GB2312"/>
          <w:color w:val="333333"/>
        </w:rPr>
        <w:t>、梅奥</w:t>
      </w:r>
    </w:p>
    <w:p>
      <w:pPr>
        <w:ind w:firstLine="440" w:firstLineChars="200"/>
        <w:rPr>
          <w:rFonts w:ascii="仿宋_GB2312" w:eastAsia="仿宋_GB2312"/>
          <w:color w:val="333333"/>
        </w:rPr>
      </w:pPr>
      <w:r>
        <w:rPr>
          <w:rFonts w:hint="eastAsia" w:ascii="仿宋_GB2312" w:eastAsia="仿宋_GB2312"/>
          <w:color w:val="333333"/>
        </w:rPr>
        <w:t xml:space="preserve">（2）教师在自然情景下，用自己的感官和相关的辅助工具，有目的、有计划地对教育现象进行考察的方法称之为（ </w:t>
      </w:r>
      <w:r>
        <w:rPr>
          <w:rFonts w:ascii="仿宋_GB2312" w:eastAsia="仿宋_GB2312"/>
          <w:color w:val="333333"/>
        </w:rPr>
        <w:t xml:space="preserve">   </w:t>
      </w:r>
      <w:r>
        <w:rPr>
          <w:rFonts w:hint="eastAsia" w:ascii="仿宋_GB2312" w:eastAsia="仿宋_GB2312"/>
          <w:color w:val="333333"/>
        </w:rPr>
        <w:t>）</w:t>
      </w:r>
    </w:p>
    <w:p>
      <w:pPr>
        <w:ind w:firstLine="440" w:firstLineChars="200"/>
        <w:rPr>
          <w:rFonts w:ascii="仿宋_GB2312" w:eastAsia="仿宋_GB2312"/>
          <w:color w:val="333333"/>
        </w:rPr>
      </w:pPr>
      <w:r>
        <w:rPr>
          <w:rFonts w:hint="eastAsia" w:ascii="仿宋_GB2312" w:eastAsia="仿宋_GB2312"/>
          <w:color w:val="333333"/>
        </w:rPr>
        <w:t xml:space="preserve">A、文献法 </w:t>
      </w:r>
      <w:r>
        <w:rPr>
          <w:rFonts w:ascii="仿宋_GB2312" w:eastAsia="仿宋_GB2312"/>
          <w:color w:val="333333"/>
        </w:rPr>
        <w:t xml:space="preserve">   B</w:t>
      </w:r>
      <w:r>
        <w:rPr>
          <w:rFonts w:hint="eastAsia" w:ascii="仿宋_GB2312" w:eastAsia="仿宋_GB2312"/>
          <w:color w:val="333333"/>
        </w:rPr>
        <w:t xml:space="preserve">、调查法 </w:t>
      </w:r>
      <w:r>
        <w:rPr>
          <w:rFonts w:ascii="仿宋_GB2312" w:eastAsia="仿宋_GB2312"/>
          <w:color w:val="333333"/>
        </w:rPr>
        <w:t xml:space="preserve">  C</w:t>
      </w:r>
      <w:r>
        <w:rPr>
          <w:rFonts w:hint="eastAsia" w:ascii="仿宋_GB2312" w:eastAsia="仿宋_GB2312"/>
          <w:color w:val="333333"/>
        </w:rPr>
        <w:t xml:space="preserve">、观察法 </w:t>
      </w:r>
      <w:r>
        <w:rPr>
          <w:rFonts w:ascii="仿宋_GB2312" w:eastAsia="仿宋_GB2312"/>
          <w:color w:val="333333"/>
        </w:rPr>
        <w:t xml:space="preserve"> D</w:t>
      </w:r>
      <w:r>
        <w:rPr>
          <w:rFonts w:hint="eastAsia" w:ascii="仿宋_GB2312" w:eastAsia="仿宋_GB2312"/>
          <w:color w:val="333333"/>
        </w:rPr>
        <w:t>、实验法</w:t>
      </w:r>
    </w:p>
    <w:p>
      <w:pPr>
        <w:ind w:left="420"/>
        <w:rPr>
          <w:rFonts w:ascii="仿宋_GB2312" w:eastAsia="仿宋_GB2312"/>
          <w:color w:val="333333"/>
        </w:rPr>
      </w:pPr>
      <w:r>
        <w:rPr>
          <w:b/>
          <w:bCs/>
          <w:color w:val="333333"/>
        </w:rPr>
        <w:t>2</w:t>
      </w:r>
      <w:r>
        <w:rPr>
          <w:rFonts w:hint="eastAsia"/>
          <w:b/>
          <w:bCs/>
          <w:color w:val="333333"/>
        </w:rPr>
        <w:t>.</w:t>
      </w:r>
      <w:r>
        <w:rPr>
          <w:rFonts w:hint="eastAsia" w:ascii="黑体" w:eastAsia="黑体"/>
          <w:b/>
          <w:bCs/>
          <w:color w:val="333333"/>
        </w:rPr>
        <w:t>多项选择题</w:t>
      </w:r>
      <w:r>
        <w:rPr>
          <w:rFonts w:hint="eastAsia" w:ascii="方正仿宋简体" w:eastAsia="方正仿宋简体"/>
          <w:color w:val="333333"/>
        </w:rPr>
        <w:t>（</w:t>
      </w:r>
      <w:r>
        <w:rPr>
          <w:rFonts w:hint="eastAsia" w:ascii="仿宋_GB2312" w:eastAsia="仿宋_GB2312"/>
          <w:color w:val="333333"/>
        </w:rPr>
        <w:t>在每小题列出的四个备选项中有二至五个是符合题目要求的，请将其代码填在题后的括号内，错选、多选、少选或未选</w:t>
      </w:r>
      <w:r>
        <w:rPr>
          <w:rFonts w:ascii="仿宋_GB2312" w:eastAsia="仿宋_GB2312"/>
          <w:color w:val="333333"/>
        </w:rPr>
        <w:t xml:space="preserve"> </w:t>
      </w:r>
      <w:r>
        <w:rPr>
          <w:rFonts w:hint="eastAsia" w:ascii="仿宋_GB2312" w:eastAsia="仿宋_GB2312"/>
          <w:color w:val="333333"/>
        </w:rPr>
        <w:t>均不给分）</w:t>
      </w:r>
    </w:p>
    <w:p>
      <w:pPr>
        <w:ind w:firstLine="440" w:firstLineChars="200"/>
        <w:rPr>
          <w:rFonts w:ascii="仿宋_GB2312" w:eastAsia="仿宋_GB2312"/>
          <w:color w:val="333333"/>
        </w:rPr>
      </w:pPr>
      <w:r>
        <w:rPr>
          <w:rFonts w:hint="eastAsia" w:ascii="仿宋_GB2312" w:eastAsia="仿宋_GB2312"/>
          <w:color w:val="333333"/>
        </w:rPr>
        <w:t xml:space="preserve">（1）沟通的基本要素有（ </w:t>
      </w:r>
      <w:r>
        <w:rPr>
          <w:rFonts w:ascii="仿宋_GB2312" w:eastAsia="仿宋_GB2312"/>
          <w:color w:val="333333"/>
        </w:rPr>
        <w:t xml:space="preserve">   </w:t>
      </w:r>
      <w:r>
        <w:rPr>
          <w:rFonts w:hint="eastAsia" w:ascii="仿宋_GB2312" w:eastAsia="仿宋_GB2312"/>
          <w:color w:val="333333"/>
        </w:rPr>
        <w:t>）</w:t>
      </w:r>
    </w:p>
    <w:p>
      <w:pPr>
        <w:ind w:firstLine="660" w:firstLineChars="300"/>
        <w:rPr>
          <w:rFonts w:ascii="仿宋_GB2312" w:eastAsia="仿宋_GB2312"/>
          <w:color w:val="333333"/>
        </w:rPr>
      </w:pPr>
      <w:r>
        <w:rPr>
          <w:rFonts w:hint="eastAsia" w:ascii="仿宋_GB2312" w:eastAsia="仿宋_GB2312"/>
          <w:color w:val="333333"/>
        </w:rPr>
        <w:t xml:space="preserve">A、沟通的内容 </w:t>
      </w:r>
      <w:r>
        <w:rPr>
          <w:rFonts w:ascii="仿宋_GB2312" w:eastAsia="仿宋_GB2312"/>
          <w:color w:val="333333"/>
        </w:rPr>
        <w:t xml:space="preserve">  B</w:t>
      </w:r>
      <w:r>
        <w:rPr>
          <w:rFonts w:hint="eastAsia" w:ascii="仿宋_GB2312" w:eastAsia="仿宋_GB2312"/>
          <w:color w:val="333333"/>
        </w:rPr>
        <w:t xml:space="preserve">、信息发出者 </w:t>
      </w:r>
      <w:r>
        <w:rPr>
          <w:rFonts w:ascii="仿宋_GB2312" w:eastAsia="仿宋_GB2312"/>
          <w:color w:val="333333"/>
        </w:rPr>
        <w:t xml:space="preserve"> C</w:t>
      </w:r>
      <w:r>
        <w:rPr>
          <w:rFonts w:hint="eastAsia" w:ascii="仿宋_GB2312" w:eastAsia="仿宋_GB2312"/>
          <w:color w:val="333333"/>
        </w:rPr>
        <w:t xml:space="preserve">、信息本身 </w:t>
      </w:r>
      <w:r>
        <w:rPr>
          <w:rFonts w:ascii="仿宋_GB2312" w:eastAsia="仿宋_GB2312"/>
          <w:color w:val="333333"/>
        </w:rPr>
        <w:t xml:space="preserve"> D</w:t>
      </w:r>
      <w:r>
        <w:rPr>
          <w:rFonts w:hint="eastAsia" w:ascii="仿宋_GB2312" w:eastAsia="仿宋_GB2312"/>
          <w:color w:val="333333"/>
        </w:rPr>
        <w:t>、信息接收者</w:t>
      </w:r>
    </w:p>
    <w:p>
      <w:pPr>
        <w:ind w:left="1"/>
        <w:rPr>
          <w:rFonts w:ascii="仿宋_GB2312" w:eastAsia="仿宋_GB2312"/>
          <w:color w:val="333333"/>
        </w:rPr>
      </w:pPr>
      <w:r>
        <w:rPr>
          <w:rFonts w:hint="eastAsia" w:ascii="仿宋_GB2312" w:eastAsia="仿宋_GB2312"/>
          <w:color w:val="333333"/>
        </w:rPr>
        <w:t xml:space="preserve"> </w:t>
      </w:r>
      <w:r>
        <w:rPr>
          <w:rFonts w:ascii="仿宋_GB2312" w:eastAsia="仿宋_GB2312"/>
          <w:color w:val="333333"/>
        </w:rPr>
        <w:t xml:space="preserve">   </w:t>
      </w:r>
      <w:r>
        <w:rPr>
          <w:rFonts w:hint="eastAsia" w:ascii="仿宋_GB2312" w:eastAsia="仿宋_GB2312"/>
          <w:color w:val="333333"/>
        </w:rPr>
        <w:t xml:space="preserve">（2）我国中小学校长应具备的基础素质大致可以概括为（ </w:t>
      </w:r>
      <w:r>
        <w:rPr>
          <w:rFonts w:ascii="仿宋_GB2312" w:eastAsia="仿宋_GB2312"/>
          <w:color w:val="333333"/>
        </w:rPr>
        <w:t xml:space="preserve">   </w:t>
      </w:r>
      <w:r>
        <w:rPr>
          <w:rFonts w:hint="eastAsia" w:ascii="仿宋_GB2312" w:eastAsia="仿宋_GB2312"/>
          <w:color w:val="333333"/>
        </w:rPr>
        <w:t>）</w:t>
      </w:r>
    </w:p>
    <w:p>
      <w:pPr>
        <w:ind w:left="1" w:firstLine="660" w:firstLineChars="300"/>
        <w:rPr>
          <w:rFonts w:ascii="仿宋_GB2312" w:eastAsia="仿宋_GB2312"/>
          <w:color w:val="333333"/>
        </w:rPr>
      </w:pPr>
      <w:r>
        <w:rPr>
          <w:rFonts w:ascii="仿宋_GB2312" w:eastAsia="仿宋_GB2312"/>
          <w:color w:val="333333"/>
        </w:rPr>
        <w:t>A</w:t>
      </w:r>
      <w:r>
        <w:rPr>
          <w:rFonts w:hint="eastAsia" w:ascii="仿宋_GB2312" w:eastAsia="仿宋_GB2312"/>
          <w:color w:val="333333"/>
        </w:rPr>
        <w:t xml:space="preserve">、思想道德基础 </w:t>
      </w:r>
      <w:r>
        <w:rPr>
          <w:rFonts w:ascii="仿宋_GB2312" w:eastAsia="仿宋_GB2312"/>
          <w:color w:val="333333"/>
        </w:rPr>
        <w:t xml:space="preserve">  B</w:t>
      </w:r>
      <w:r>
        <w:rPr>
          <w:rFonts w:hint="eastAsia" w:ascii="仿宋_GB2312" w:eastAsia="仿宋_GB2312"/>
          <w:color w:val="333333"/>
        </w:rPr>
        <w:t xml:space="preserve">、专业知识基础 </w:t>
      </w:r>
      <w:r>
        <w:rPr>
          <w:rFonts w:ascii="仿宋_GB2312" w:eastAsia="仿宋_GB2312"/>
          <w:color w:val="333333"/>
        </w:rPr>
        <w:t xml:space="preserve">  C</w:t>
      </w:r>
      <w:r>
        <w:rPr>
          <w:rFonts w:hint="eastAsia" w:ascii="仿宋_GB2312" w:eastAsia="仿宋_GB2312"/>
          <w:color w:val="333333"/>
        </w:rPr>
        <w:t xml:space="preserve">、能力基础 </w:t>
      </w:r>
      <w:r>
        <w:rPr>
          <w:rFonts w:ascii="仿宋_GB2312" w:eastAsia="仿宋_GB2312"/>
          <w:color w:val="333333"/>
        </w:rPr>
        <w:t xml:space="preserve"> D</w:t>
      </w:r>
      <w:r>
        <w:rPr>
          <w:rFonts w:hint="eastAsia" w:ascii="仿宋_GB2312" w:eastAsia="仿宋_GB2312"/>
          <w:color w:val="333333"/>
        </w:rPr>
        <w:t xml:space="preserve">、健康基础 </w:t>
      </w:r>
      <w:r>
        <w:rPr>
          <w:rFonts w:ascii="仿宋_GB2312" w:eastAsia="仿宋_GB2312"/>
          <w:color w:val="333333"/>
        </w:rPr>
        <w:t xml:space="preserve"> </w:t>
      </w:r>
    </w:p>
    <w:p>
      <w:pPr>
        <w:ind w:left="55" w:leftChars="25" w:firstLine="440" w:firstLineChars="200"/>
        <w:rPr>
          <w:rFonts w:ascii="黑体" w:eastAsia="黑体"/>
          <w:b/>
          <w:bCs/>
          <w:color w:val="333333"/>
        </w:rPr>
      </w:pPr>
      <w:r>
        <w:rPr>
          <w:b/>
          <w:bCs/>
          <w:color w:val="333333"/>
        </w:rPr>
        <w:t>3</w:t>
      </w:r>
      <w:r>
        <w:rPr>
          <w:rFonts w:hint="eastAsia"/>
          <w:b/>
          <w:bCs/>
          <w:color w:val="333333"/>
        </w:rPr>
        <w:t>.</w:t>
      </w:r>
      <w:r>
        <w:rPr>
          <w:rFonts w:hint="eastAsia" w:ascii="黑体" w:eastAsia="黑体"/>
          <w:b/>
          <w:bCs/>
          <w:color w:val="333333"/>
        </w:rPr>
        <w:t>简答题</w:t>
      </w:r>
    </w:p>
    <w:p>
      <w:pPr>
        <w:ind w:left="55" w:leftChars="25" w:firstLine="440" w:firstLineChars="200"/>
        <w:rPr>
          <w:rFonts w:ascii="仿宋_GB2312" w:eastAsia="仿宋_GB2312"/>
          <w:color w:val="333333"/>
        </w:rPr>
      </w:pPr>
      <w:r>
        <w:rPr>
          <w:rFonts w:hint="eastAsia" w:ascii="仿宋_GB2312" w:eastAsia="仿宋_GB2312"/>
          <w:color w:val="333333"/>
        </w:rPr>
        <w:t>（1）简述学校管理的基本原则。</w:t>
      </w:r>
    </w:p>
    <w:p>
      <w:pPr>
        <w:ind w:left="55" w:leftChars="25" w:firstLine="440" w:firstLineChars="200"/>
        <w:rPr>
          <w:rFonts w:ascii="仿宋_GB2312" w:eastAsia="仿宋_GB2312"/>
          <w:color w:val="333333"/>
        </w:rPr>
      </w:pPr>
      <w:r>
        <w:rPr>
          <w:rFonts w:hint="eastAsia" w:ascii="仿宋_GB2312" w:eastAsia="仿宋_GB2312"/>
          <w:color w:val="333333"/>
        </w:rPr>
        <w:t>（2）简述家校合作的保障措施。</w:t>
      </w:r>
    </w:p>
    <w:p>
      <w:pPr>
        <w:ind w:left="55" w:leftChars="25" w:firstLine="442" w:firstLineChars="200"/>
        <w:rPr>
          <w:rFonts w:ascii="方正仿宋简体" w:eastAsia="方正仿宋简体"/>
          <w:color w:val="333333"/>
        </w:rPr>
      </w:pPr>
      <w:r>
        <w:rPr>
          <w:rFonts w:ascii="黑体" w:eastAsia="黑体"/>
          <w:b/>
          <w:bCs/>
          <w:color w:val="333333"/>
        </w:rPr>
        <w:t>4.</w:t>
      </w:r>
      <w:r>
        <w:rPr>
          <w:rFonts w:hint="eastAsia" w:ascii="黑体" w:eastAsia="黑体"/>
          <w:b/>
          <w:bCs/>
          <w:color w:val="333333"/>
        </w:rPr>
        <w:t>论述题</w:t>
      </w:r>
    </w:p>
    <w:p>
      <w:pPr>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rPr>
        <w:t>结合实际</w:t>
      </w:r>
      <w:r>
        <w:rPr>
          <w:rFonts w:ascii="仿宋_GB2312" w:eastAsia="仿宋_GB2312"/>
          <w:color w:val="333333"/>
        </w:rPr>
        <w:t>试述</w:t>
      </w:r>
      <w:r>
        <w:rPr>
          <w:rFonts w:hint="eastAsia" w:ascii="仿宋_GB2312" w:eastAsia="仿宋_GB2312"/>
          <w:color w:val="333333"/>
        </w:rPr>
        <w:t>学校规划制定的程序。</w:t>
      </w:r>
    </w:p>
    <w:p>
      <w:r>
        <w:rPr>
          <w:rFonts w:ascii="仿宋_GB2312" w:eastAsia="仿宋_GB2312"/>
          <w:color w:val="333333"/>
          <w:szCs w:val="30"/>
        </w:rPr>
        <w:tab/>
      </w:r>
      <w:r>
        <w:rPr>
          <w:rFonts w:hint="eastAsia" w:ascii="仿宋_GB2312" w:eastAsia="仿宋_GB2312"/>
          <w:color w:val="333333"/>
          <w:szCs w:val="30"/>
        </w:rPr>
        <w:t>（</w:t>
      </w:r>
      <w:r>
        <w:rPr>
          <w:rFonts w:ascii="仿宋_GB2312" w:eastAsia="仿宋_GB2312"/>
          <w:color w:val="333333"/>
          <w:szCs w:val="30"/>
        </w:rPr>
        <w:t>2）</w:t>
      </w:r>
      <w:r>
        <w:rPr>
          <w:rFonts w:hint="eastAsia" w:ascii="仿宋_GB2312" w:eastAsia="仿宋_GB2312"/>
          <w:color w:val="333333"/>
          <w:szCs w:val="30"/>
        </w:rPr>
        <w:t>结合实际试述教师专业发展的途径。</w:t>
      </w:r>
    </w:p>
    <w:p>
      <w:pPr>
        <w:ind w:right="41" w:firstLine="440" w:firstLineChars="200"/>
        <w:rPr>
          <w:rFonts w:ascii="仿宋_GB2312" w:eastAsia="仿宋_GB2312"/>
          <w:color w:val="333333"/>
        </w:rPr>
      </w:pPr>
    </w:p>
    <w:p>
      <w:pPr>
        <w:ind w:right="41" w:firstLine="440" w:firstLineChars="200"/>
        <w:rPr>
          <w:rFonts w:ascii="仿宋_GB2312" w:eastAsia="仿宋_GB2312"/>
          <w:color w:val="333333"/>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yY2U4NDdhOGIwZjBhMmU3YWU1YzA1YjFkODU1OGMifQ=="/>
  </w:docVars>
  <w:rsids>
    <w:rsidRoot w:val="0034027F"/>
    <w:rsid w:val="00032E25"/>
    <w:rsid w:val="000F1402"/>
    <w:rsid w:val="00112276"/>
    <w:rsid w:val="00213B36"/>
    <w:rsid w:val="0032586B"/>
    <w:rsid w:val="0034027F"/>
    <w:rsid w:val="00371AB6"/>
    <w:rsid w:val="0037642D"/>
    <w:rsid w:val="00425622"/>
    <w:rsid w:val="004E216C"/>
    <w:rsid w:val="004E5865"/>
    <w:rsid w:val="00640DFA"/>
    <w:rsid w:val="006A5C21"/>
    <w:rsid w:val="00736C68"/>
    <w:rsid w:val="007C63FA"/>
    <w:rsid w:val="00860D8B"/>
    <w:rsid w:val="008C7690"/>
    <w:rsid w:val="008D64CB"/>
    <w:rsid w:val="009161AA"/>
    <w:rsid w:val="0092298A"/>
    <w:rsid w:val="00A261B9"/>
    <w:rsid w:val="00A31E1B"/>
    <w:rsid w:val="00AE37CF"/>
    <w:rsid w:val="00AF44FF"/>
    <w:rsid w:val="00B30D49"/>
    <w:rsid w:val="00BE4B42"/>
    <w:rsid w:val="00CD7E24"/>
    <w:rsid w:val="00E57D50"/>
    <w:rsid w:val="00EA2315"/>
    <w:rsid w:val="00EF1805"/>
    <w:rsid w:val="00F014B5"/>
    <w:rsid w:val="00F26CC3"/>
    <w:rsid w:val="00F617BD"/>
    <w:rsid w:val="00F816C0"/>
    <w:rsid w:val="2D7D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autoRedefine/>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3"/>
    <w:autoRedefine/>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8"/>
      <w:szCs w:val="28"/>
    </w:rPr>
  </w:style>
  <w:style w:type="paragraph" w:styleId="4">
    <w:name w:val="heading 3"/>
    <w:basedOn w:val="1"/>
    <w:next w:val="1"/>
    <w:link w:val="24"/>
    <w:autoRedefine/>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25"/>
    <w:autoRedefine/>
    <w:semiHidden/>
    <w:unhideWhenUsed/>
    <w:qFormat/>
    <w:uiPriority w:val="9"/>
    <w:pPr>
      <w:keepNext/>
      <w:keepLines/>
      <w:spacing w:before="40" w:after="0"/>
      <w:outlineLvl w:val="3"/>
    </w:pPr>
    <w:rPr>
      <w:i/>
      <w:iCs/>
    </w:rPr>
  </w:style>
  <w:style w:type="paragraph" w:styleId="6">
    <w:name w:val="heading 5"/>
    <w:basedOn w:val="1"/>
    <w:next w:val="1"/>
    <w:link w:val="26"/>
    <w:autoRedefine/>
    <w:semiHidden/>
    <w:unhideWhenUsed/>
    <w:qFormat/>
    <w:uiPriority w:val="9"/>
    <w:pPr>
      <w:keepNext/>
      <w:keepLines/>
      <w:spacing w:before="40" w:after="0"/>
      <w:outlineLvl w:val="4"/>
    </w:pPr>
    <w:rPr>
      <w:color w:val="2F5597" w:themeColor="accent1" w:themeShade="BF"/>
    </w:rPr>
  </w:style>
  <w:style w:type="paragraph" w:styleId="7">
    <w:name w:val="heading 6"/>
    <w:basedOn w:val="1"/>
    <w:next w:val="1"/>
    <w:link w:val="27"/>
    <w:autoRedefine/>
    <w:semiHidden/>
    <w:unhideWhenUsed/>
    <w:qFormat/>
    <w:uiPriority w:val="9"/>
    <w:pPr>
      <w:keepNext/>
      <w:keepLines/>
      <w:spacing w:before="40" w:after="0"/>
      <w:outlineLvl w:val="5"/>
    </w:pPr>
    <w:rPr>
      <w:color w:val="203864" w:themeColor="accent1" w:themeShade="80"/>
    </w:rPr>
  </w:style>
  <w:style w:type="paragraph" w:styleId="8">
    <w:name w:val="heading 7"/>
    <w:basedOn w:val="1"/>
    <w:next w:val="1"/>
    <w:link w:val="28"/>
    <w:autoRedefine/>
    <w:semiHidden/>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9"/>
    <w:semiHidden/>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autoRedefine/>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footer"/>
    <w:basedOn w:val="1"/>
    <w:link w:val="21"/>
    <w:unhideWhenUsed/>
    <w:qFormat/>
    <w:uiPriority w:val="99"/>
    <w:pPr>
      <w:tabs>
        <w:tab w:val="center" w:pos="4153"/>
        <w:tab w:val="right" w:pos="8306"/>
      </w:tabs>
      <w:snapToGrid w:val="0"/>
    </w:pPr>
    <w:rPr>
      <w:sz w:val="18"/>
      <w:szCs w:val="18"/>
    </w:rPr>
  </w:style>
  <w:style w:type="paragraph" w:styleId="13">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autoRedefine/>
    <w:qFormat/>
    <w:uiPriority w:val="11"/>
    <w:rPr>
      <w:color w:val="595959" w:themeColor="text1" w:themeTint="A6"/>
      <w:spacing w:val="15"/>
      <w14:textFill>
        <w14:solidFill>
          <w14:schemeClr w14:val="tx1">
            <w14:lumMod w14:val="65000"/>
            <w14:lumOff w14:val="35000"/>
          </w14:schemeClr>
        </w14:solidFill>
      </w14:textFill>
    </w:rPr>
  </w:style>
  <w:style w:type="paragraph" w:styleId="15">
    <w:name w:val="Title"/>
    <w:basedOn w:val="1"/>
    <w:next w:val="1"/>
    <w:link w:val="31"/>
    <w:autoRedefine/>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8">
    <w:name w:val="Strong"/>
    <w:basedOn w:val="17"/>
    <w:autoRedefine/>
    <w:qFormat/>
    <w:uiPriority w:val="22"/>
    <w:rPr>
      <w:b/>
      <w:bCs/>
      <w:color w:val="auto"/>
    </w:rPr>
  </w:style>
  <w:style w:type="character" w:styleId="19">
    <w:name w:val="Emphasis"/>
    <w:basedOn w:val="17"/>
    <w:autoRedefine/>
    <w:qFormat/>
    <w:uiPriority w:val="20"/>
    <w:rPr>
      <w:i/>
      <w:iCs/>
      <w:color w:val="auto"/>
    </w:rPr>
  </w:style>
  <w:style w:type="character" w:customStyle="1" w:styleId="20">
    <w:name w:val="页眉 字符"/>
    <w:basedOn w:val="17"/>
    <w:link w:val="13"/>
    <w:autoRedefine/>
    <w:qFormat/>
    <w:uiPriority w:val="99"/>
    <w:rPr>
      <w:sz w:val="18"/>
      <w:szCs w:val="18"/>
    </w:rPr>
  </w:style>
  <w:style w:type="character" w:customStyle="1" w:styleId="21">
    <w:name w:val="页脚 字符"/>
    <w:basedOn w:val="17"/>
    <w:link w:val="12"/>
    <w:autoRedefine/>
    <w:qFormat/>
    <w:uiPriority w:val="99"/>
    <w:rPr>
      <w:sz w:val="18"/>
      <w:szCs w:val="18"/>
    </w:rPr>
  </w:style>
  <w:style w:type="character" w:customStyle="1" w:styleId="22">
    <w:name w:val="标题 1 字符"/>
    <w:basedOn w:val="17"/>
    <w:link w:val="2"/>
    <w:qFormat/>
    <w:uiPriority w:val="9"/>
    <w:rPr>
      <w:rFonts w:asciiTheme="majorHAnsi" w:hAnsiTheme="majorHAnsi" w:eastAsiaTheme="majorEastAsia" w:cstheme="majorBidi"/>
      <w:color w:val="2F5597" w:themeColor="accent1" w:themeShade="BF"/>
      <w:sz w:val="32"/>
      <w:szCs w:val="32"/>
    </w:rPr>
  </w:style>
  <w:style w:type="character" w:customStyle="1" w:styleId="23">
    <w:name w:val="标题 2 字符"/>
    <w:basedOn w:val="17"/>
    <w:link w:val="3"/>
    <w:autoRedefine/>
    <w:semiHidden/>
    <w:uiPriority w:val="9"/>
    <w:rPr>
      <w:rFonts w:asciiTheme="majorHAnsi" w:hAnsiTheme="majorHAnsi" w:eastAsiaTheme="majorEastAsia" w:cstheme="majorBidi"/>
      <w:color w:val="2F5597" w:themeColor="accent1" w:themeShade="BF"/>
      <w:sz w:val="28"/>
      <w:szCs w:val="28"/>
    </w:rPr>
  </w:style>
  <w:style w:type="character" w:customStyle="1" w:styleId="24">
    <w:name w:val="标题 3 字符"/>
    <w:basedOn w:val="17"/>
    <w:link w:val="4"/>
    <w:semiHidden/>
    <w:uiPriority w:val="9"/>
    <w:rPr>
      <w:rFonts w:asciiTheme="majorHAnsi" w:hAnsiTheme="majorHAnsi" w:eastAsiaTheme="majorEastAsia" w:cstheme="majorBidi"/>
      <w:color w:val="203864" w:themeColor="accent1" w:themeShade="80"/>
      <w:sz w:val="24"/>
      <w:szCs w:val="24"/>
    </w:rPr>
  </w:style>
  <w:style w:type="character" w:customStyle="1" w:styleId="25">
    <w:name w:val="标题 4 字符"/>
    <w:basedOn w:val="17"/>
    <w:link w:val="5"/>
    <w:semiHidden/>
    <w:uiPriority w:val="9"/>
    <w:rPr>
      <w:i/>
      <w:iCs/>
    </w:rPr>
  </w:style>
  <w:style w:type="character" w:customStyle="1" w:styleId="26">
    <w:name w:val="标题 5 字符"/>
    <w:basedOn w:val="17"/>
    <w:link w:val="6"/>
    <w:semiHidden/>
    <w:qFormat/>
    <w:uiPriority w:val="9"/>
    <w:rPr>
      <w:color w:val="2F5597" w:themeColor="accent1" w:themeShade="BF"/>
    </w:rPr>
  </w:style>
  <w:style w:type="character" w:customStyle="1" w:styleId="27">
    <w:name w:val="标题 6 字符"/>
    <w:basedOn w:val="17"/>
    <w:link w:val="7"/>
    <w:autoRedefine/>
    <w:semiHidden/>
    <w:qFormat/>
    <w:uiPriority w:val="9"/>
    <w:rPr>
      <w:color w:val="203864" w:themeColor="accent1" w:themeShade="80"/>
    </w:rPr>
  </w:style>
  <w:style w:type="character" w:customStyle="1" w:styleId="28">
    <w:name w:val="标题 7 字符"/>
    <w:basedOn w:val="17"/>
    <w:link w:val="8"/>
    <w:semiHidden/>
    <w:qFormat/>
    <w:uiPriority w:val="9"/>
    <w:rPr>
      <w:rFonts w:asciiTheme="majorHAnsi" w:hAnsiTheme="majorHAnsi" w:eastAsiaTheme="majorEastAsia" w:cstheme="majorBidi"/>
      <w:i/>
      <w:iCs/>
      <w:color w:val="203864" w:themeColor="accent1" w:themeShade="80"/>
    </w:rPr>
  </w:style>
  <w:style w:type="character" w:customStyle="1" w:styleId="29">
    <w:name w:val="标题 8 字符"/>
    <w:basedOn w:val="17"/>
    <w:link w:val="9"/>
    <w:autoRedefine/>
    <w:semiHidden/>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30">
    <w:name w:val="标题 9 字符"/>
    <w:basedOn w:val="17"/>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1">
    <w:name w:val="标题 字符"/>
    <w:basedOn w:val="17"/>
    <w:link w:val="15"/>
    <w:autoRedefine/>
    <w:qFormat/>
    <w:uiPriority w:val="10"/>
    <w:rPr>
      <w:rFonts w:asciiTheme="majorHAnsi" w:hAnsiTheme="majorHAnsi" w:eastAsiaTheme="majorEastAsia" w:cstheme="majorBidi"/>
      <w:spacing w:val="-10"/>
      <w:sz w:val="56"/>
      <w:szCs w:val="56"/>
    </w:rPr>
  </w:style>
  <w:style w:type="character" w:customStyle="1" w:styleId="32">
    <w:name w:val="副标题 字符"/>
    <w:basedOn w:val="17"/>
    <w:link w:val="14"/>
    <w:uiPriority w:val="11"/>
    <w:rPr>
      <w:color w:val="595959" w:themeColor="text1" w:themeTint="A6"/>
      <w:spacing w:val="15"/>
      <w14:textFill>
        <w14:solidFill>
          <w14:schemeClr w14:val="tx1">
            <w14:lumMod w14:val="65000"/>
            <w14:lumOff w14:val="35000"/>
          </w14:schemeClr>
        </w14:solidFill>
      </w14:textFill>
    </w:rPr>
  </w:style>
  <w:style w:type="paragraph" w:styleId="33">
    <w:name w:val="No Spacing"/>
    <w:autoRedefine/>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4">
    <w:name w:val="Quote"/>
    <w:basedOn w:val="1"/>
    <w:next w:val="1"/>
    <w:link w:val="35"/>
    <w:autoRedefine/>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5">
    <w:name w:val="引用 字符"/>
    <w:basedOn w:val="17"/>
    <w:link w:val="34"/>
    <w:autoRedefine/>
    <w:qFormat/>
    <w:uiPriority w:val="29"/>
    <w:rPr>
      <w:i/>
      <w:iCs/>
      <w:color w:val="404040" w:themeColor="text1" w:themeTint="BF"/>
      <w14:textFill>
        <w14:solidFill>
          <w14:schemeClr w14:val="tx1">
            <w14:lumMod w14:val="75000"/>
            <w14:lumOff w14:val="25000"/>
          </w14:schemeClr>
        </w14:solidFill>
      </w14:textFill>
    </w:rPr>
  </w:style>
  <w:style w:type="paragraph" w:styleId="36">
    <w:name w:val="Intense Quote"/>
    <w:basedOn w:val="1"/>
    <w:next w:val="1"/>
    <w:link w:val="37"/>
    <w:autoRedefine/>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37">
    <w:name w:val="明显引用 字符"/>
    <w:basedOn w:val="17"/>
    <w:link w:val="36"/>
    <w:autoRedefine/>
    <w:qFormat/>
    <w:uiPriority w:val="30"/>
    <w:rPr>
      <w:i/>
      <w:iCs/>
      <w:color w:val="4472C4" w:themeColor="accent1"/>
      <w14:textFill>
        <w14:solidFill>
          <w14:schemeClr w14:val="accent1"/>
        </w14:solidFill>
      </w14:textFill>
    </w:rPr>
  </w:style>
  <w:style w:type="character" w:customStyle="1" w:styleId="38">
    <w:name w:val="Subtle Emphasis"/>
    <w:basedOn w:val="17"/>
    <w:autoRedefine/>
    <w:qFormat/>
    <w:uiPriority w:val="19"/>
    <w:rPr>
      <w:i/>
      <w:iCs/>
      <w:color w:val="404040" w:themeColor="text1" w:themeTint="BF"/>
      <w14:textFill>
        <w14:solidFill>
          <w14:schemeClr w14:val="tx1">
            <w14:lumMod w14:val="75000"/>
            <w14:lumOff w14:val="25000"/>
          </w14:schemeClr>
        </w14:solidFill>
      </w14:textFill>
    </w:rPr>
  </w:style>
  <w:style w:type="character" w:customStyle="1" w:styleId="39">
    <w:name w:val="Intense Emphasis"/>
    <w:basedOn w:val="17"/>
    <w:qFormat/>
    <w:uiPriority w:val="21"/>
    <w:rPr>
      <w:i/>
      <w:iCs/>
      <w:color w:val="4472C4" w:themeColor="accent1"/>
      <w14:textFill>
        <w14:solidFill>
          <w14:schemeClr w14:val="accent1"/>
        </w14:solidFill>
      </w14:textFill>
    </w:rPr>
  </w:style>
  <w:style w:type="character" w:customStyle="1" w:styleId="40">
    <w:name w:val="Subtle Reference"/>
    <w:basedOn w:val="17"/>
    <w:autoRedefine/>
    <w:qFormat/>
    <w:uiPriority w:val="31"/>
    <w:rPr>
      <w:smallCaps/>
      <w:color w:val="404040" w:themeColor="text1" w:themeTint="BF"/>
      <w14:textFill>
        <w14:solidFill>
          <w14:schemeClr w14:val="tx1">
            <w14:lumMod w14:val="75000"/>
            <w14:lumOff w14:val="25000"/>
          </w14:schemeClr>
        </w14:solidFill>
      </w14:textFill>
    </w:rPr>
  </w:style>
  <w:style w:type="character" w:customStyle="1" w:styleId="41">
    <w:name w:val="Intense Reference"/>
    <w:basedOn w:val="17"/>
    <w:autoRedefine/>
    <w:qFormat/>
    <w:uiPriority w:val="32"/>
    <w:rPr>
      <w:b/>
      <w:bCs/>
      <w:smallCaps/>
      <w:color w:val="4472C4" w:themeColor="accent1"/>
      <w:spacing w:val="5"/>
      <w14:textFill>
        <w14:solidFill>
          <w14:schemeClr w14:val="accent1"/>
        </w14:solidFill>
      </w14:textFill>
    </w:rPr>
  </w:style>
  <w:style w:type="character" w:customStyle="1" w:styleId="42">
    <w:name w:val="Book Title"/>
    <w:basedOn w:val="17"/>
    <w:autoRedefine/>
    <w:qFormat/>
    <w:uiPriority w:val="33"/>
    <w:rPr>
      <w:b/>
      <w:bCs/>
      <w:i/>
      <w:iCs/>
      <w:spacing w:val="5"/>
    </w:rPr>
  </w:style>
  <w:style w:type="paragraph" w:customStyle="1" w:styleId="43">
    <w:name w:val="TOC Heading"/>
    <w:basedOn w:val="2"/>
    <w:next w:val="1"/>
    <w:autoRedefine/>
    <w:semiHidden/>
    <w:unhideWhenUsed/>
    <w:qFormat/>
    <w:uiPriority w:val="39"/>
    <w:pPr>
      <w:outlineLvl w:val="9"/>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684</Words>
  <Characters>3905</Characters>
  <Lines>32</Lines>
  <Paragraphs>9</Paragraphs>
  <TotalTime>253</TotalTime>
  <ScaleCrop>false</ScaleCrop>
  <LinksUpToDate>false</LinksUpToDate>
  <CharactersWithSpaces>4580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2023-04-30T01:28:00Z</dcterms:created>
  <dc:creator>Administrator</dc:creator>
  <cp:lastModifiedBy>云和山的彼端</cp:lastModifiedBy>
  <dcterms:modified xsi:type="dcterms:W3CDTF">2024-03-14T03:23:14Z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2D0A72DC65AE4567A3C7CC1688CD5017_12</vt:lpwstr>
  </property>
</Properties>
</file>